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F49DB">
      <w:pPr>
        <w:keepNext w:val="0"/>
        <w:keepLines w:val="0"/>
        <w:pageBreakBefore w:val="0"/>
        <w:widowControl w:val="0"/>
        <w:suppressLineNumbers w:val="0"/>
        <w:suppressAutoHyphens w:val="0"/>
        <w:bidi w:val="0"/>
      </w:pPr>
    </w:p>
    <w:p w14:paraId="356F3F66">
      <w:pPr>
        <w:pStyle w:val="12"/>
        <w:keepNext w:val="0"/>
        <w:keepLines w:val="0"/>
        <w:pageBreakBefore w:val="0"/>
        <w:widowControl/>
        <w:suppressLineNumbers w:val="0"/>
        <w:suppressAutoHyphens w:val="0"/>
        <w:bidi w:val="0"/>
      </w:pPr>
    </w:p>
    <w:p w14:paraId="0F671F06">
      <w:pPr>
        <w:keepNext w:val="0"/>
        <w:keepLines w:val="0"/>
        <w:pageBreakBefore w:val="0"/>
        <w:widowControl w:val="0"/>
        <w:suppressLineNumbers w:val="0"/>
        <w:suppressAutoHyphens w:val="0"/>
        <w:bidi w:val="0"/>
      </w:pPr>
    </w:p>
    <w:p w14:paraId="241CD7B3">
      <w:pPr>
        <w:pStyle w:val="12"/>
        <w:keepNext w:val="0"/>
        <w:keepLines w:val="0"/>
        <w:pageBreakBefore w:val="0"/>
        <w:widowControl/>
        <w:suppressLineNumbers w:val="0"/>
        <w:suppressAutoHyphens w:val="0"/>
        <w:bidi w:val="0"/>
      </w:pPr>
    </w:p>
    <w:p w14:paraId="4B4A17AE">
      <w:pPr>
        <w:keepNext w:val="0"/>
        <w:keepLines w:val="0"/>
        <w:pageBreakBefore w:val="0"/>
        <w:widowControl w:val="0"/>
        <w:suppressLineNumbers w:val="0"/>
        <w:suppressAutoHyphens w:val="0"/>
        <w:bidi w:val="0"/>
      </w:pPr>
    </w:p>
    <w:p w14:paraId="2E0112CB">
      <w:pPr>
        <w:keepNext w:val="0"/>
        <w:keepLines w:val="0"/>
        <w:pageBreakBefore w:val="0"/>
        <w:kinsoku/>
        <w:wordWrap/>
        <w:overflowPunct/>
        <w:topLinePunct w:val="0"/>
        <w:autoSpaceDE/>
        <w:autoSpaceDN/>
        <w:bidi w:val="0"/>
        <w:spacing w:line="560" w:lineRule="exact"/>
        <w:jc w:val="right"/>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鸡环审〔2025〕</w:t>
      </w:r>
      <w:r>
        <w:rPr>
          <w:rFonts w:hint="eastAsia" w:eastAsia="仿宋_GB2312" w:cs="Times New Roman"/>
          <w:sz w:val="32"/>
          <w:szCs w:val="32"/>
          <w:highlight w:val="none"/>
          <w:lang w:val="en-US" w:eastAsia="zh-CN"/>
        </w:rPr>
        <w:t>70</w:t>
      </w:r>
      <w:r>
        <w:rPr>
          <w:rFonts w:ascii="Times New Roman" w:hAnsi="Times New Roman" w:eastAsia="仿宋_GB2312" w:cs="Times New Roman"/>
          <w:sz w:val="32"/>
          <w:szCs w:val="32"/>
          <w:highlight w:val="none"/>
        </w:rPr>
        <w:t>号</w:t>
      </w:r>
    </w:p>
    <w:p w14:paraId="037D3D16">
      <w:pPr>
        <w:keepNext w:val="0"/>
        <w:keepLines w:val="0"/>
        <w:pageBreakBefore w:val="0"/>
        <w:kinsoku/>
        <w:wordWrap/>
        <w:overflowPunct/>
        <w:topLinePunct w:val="0"/>
        <w:autoSpaceDE/>
        <w:autoSpaceDN/>
        <w:bidi w:val="0"/>
        <w:spacing w:line="560" w:lineRule="exact"/>
        <w:textAlignment w:val="auto"/>
        <w:rPr>
          <w:rFonts w:ascii="Times New Roman" w:hAnsi="Times New Roman" w:eastAsia="仿宋_GB2312" w:cs="Times New Roman"/>
          <w:bCs/>
          <w:sz w:val="32"/>
          <w:szCs w:val="32"/>
          <w:shd w:val="clear" w:color="auto" w:fill="auto"/>
        </w:rPr>
      </w:pPr>
    </w:p>
    <w:p w14:paraId="186B5539">
      <w:pPr>
        <w:pStyle w:val="13"/>
        <w:keepNext w:val="0"/>
        <w:keepLines w:val="0"/>
        <w:pageBreakBefore w:val="0"/>
        <w:widowControl/>
        <w:kinsoku/>
        <w:wordWrap/>
        <w:overflowPunct/>
        <w:topLinePunct w:val="0"/>
        <w:autoSpaceDE/>
        <w:autoSpaceDN/>
        <w:adjustRightInd/>
        <w:snapToGrid/>
        <w:spacing w:beforeAutospacing="0" w:afterAutospacing="0" w:line="560" w:lineRule="exact"/>
        <w:jc w:val="center"/>
        <w:rPr>
          <w:rFonts w:hint="eastAsia" w:ascii="方正小标宋简体" w:hAnsi="方正小标宋简体" w:eastAsia="方正小标宋简体" w:cs="方正小标宋简体"/>
          <w:spacing w:val="-6"/>
          <w:kern w:val="2"/>
          <w:sz w:val="44"/>
          <w:szCs w:val="44"/>
          <w:shd w:val="clear" w:color="auto" w:fill="auto"/>
          <w:lang w:val="en-US" w:eastAsia="zh-CN"/>
        </w:rPr>
      </w:pPr>
      <w:r>
        <w:rPr>
          <w:rFonts w:hint="eastAsia" w:ascii="方正小标宋简体" w:hAnsi="方正小标宋简体" w:eastAsia="方正小标宋简体" w:cs="方正小标宋简体"/>
          <w:spacing w:val="-6"/>
          <w:sz w:val="44"/>
          <w:szCs w:val="44"/>
          <w:shd w:val="clear" w:color="auto" w:fill="auto"/>
        </w:rPr>
        <w:t>关</w:t>
      </w:r>
      <w:r>
        <w:rPr>
          <w:rFonts w:hint="eastAsia" w:ascii="方正小标宋简体" w:hAnsi="方正小标宋简体" w:eastAsia="方正小标宋简体" w:cs="方正小标宋简体"/>
          <w:spacing w:val="-6"/>
          <w:kern w:val="2"/>
          <w:sz w:val="44"/>
          <w:szCs w:val="44"/>
          <w:shd w:val="clear" w:color="auto" w:fill="auto"/>
        </w:rPr>
        <w:t>于</w:t>
      </w:r>
      <w:r>
        <w:rPr>
          <w:rFonts w:hint="eastAsia" w:ascii="方正小标宋简体" w:hAnsi="方正小标宋简体" w:eastAsia="方正小标宋简体" w:cs="方正小标宋简体"/>
          <w:spacing w:val="-6"/>
          <w:kern w:val="2"/>
          <w:sz w:val="44"/>
          <w:szCs w:val="44"/>
          <w:shd w:val="clear" w:color="auto" w:fill="auto"/>
          <w:lang w:val="en-US" w:eastAsia="zh-CN"/>
        </w:rPr>
        <w:t>黑龙江省鸡西市鸡东县30万吨绿氢醇</w:t>
      </w:r>
    </w:p>
    <w:p w14:paraId="1C9DD827">
      <w:pPr>
        <w:pStyle w:val="13"/>
        <w:keepNext w:val="0"/>
        <w:keepLines w:val="0"/>
        <w:pageBreakBefore w:val="0"/>
        <w:widowControl/>
        <w:kinsoku/>
        <w:wordWrap/>
        <w:overflowPunct/>
        <w:topLinePunct w:val="0"/>
        <w:autoSpaceDE/>
        <w:autoSpaceDN/>
        <w:adjustRightInd/>
        <w:snapToGrid/>
        <w:spacing w:beforeAutospacing="0" w:afterAutospacing="0" w:line="560" w:lineRule="exact"/>
        <w:jc w:val="center"/>
        <w:rPr>
          <w:rFonts w:hint="eastAsia" w:ascii="方正小标宋简体" w:hAnsi="方正小标宋简体" w:eastAsia="方正小标宋简体" w:cs="方正小标宋简体"/>
          <w:spacing w:val="-6"/>
          <w:kern w:val="2"/>
          <w:sz w:val="44"/>
          <w:szCs w:val="44"/>
          <w:shd w:val="clear" w:color="auto" w:fill="auto"/>
        </w:rPr>
      </w:pPr>
      <w:r>
        <w:rPr>
          <w:rFonts w:hint="eastAsia" w:ascii="方正小标宋简体" w:hAnsi="方正小标宋简体" w:eastAsia="方正小标宋简体" w:cs="方正小标宋简体"/>
          <w:spacing w:val="-6"/>
          <w:kern w:val="2"/>
          <w:sz w:val="44"/>
          <w:szCs w:val="44"/>
          <w:shd w:val="clear" w:color="auto" w:fill="auto"/>
          <w:lang w:val="en-US" w:eastAsia="zh-CN"/>
        </w:rPr>
        <w:t>航油化工联产项目</w:t>
      </w:r>
      <w:r>
        <w:rPr>
          <w:rFonts w:hint="eastAsia" w:ascii="方正小标宋简体" w:hAnsi="方正小标宋简体" w:eastAsia="方正小标宋简体" w:cs="方正小标宋简体"/>
          <w:spacing w:val="-6"/>
          <w:kern w:val="2"/>
          <w:sz w:val="44"/>
          <w:szCs w:val="44"/>
          <w:shd w:val="clear" w:color="auto" w:fill="auto"/>
          <w:lang w:eastAsia="zh-CN"/>
        </w:rPr>
        <w:t>环境影响报告</w:t>
      </w:r>
      <w:r>
        <w:rPr>
          <w:rFonts w:ascii="方正小标宋简体" w:hAnsi="方正小标宋简体" w:eastAsia="方正小标宋简体" w:cs="方正小标宋简体"/>
          <w:spacing w:val="-6"/>
          <w:kern w:val="2"/>
          <w:sz w:val="44"/>
          <w:szCs w:val="44"/>
          <w:shd w:val="clear" w:color="auto" w:fill="auto"/>
          <w:lang w:eastAsia="zh-CN"/>
        </w:rPr>
        <w:t>书</w:t>
      </w:r>
      <w:r>
        <w:rPr>
          <w:rFonts w:hint="eastAsia" w:ascii="方正小标宋简体" w:hAnsi="方正小标宋简体" w:eastAsia="方正小标宋简体" w:cs="方正小标宋简体"/>
          <w:spacing w:val="-6"/>
          <w:sz w:val="44"/>
          <w:szCs w:val="44"/>
          <w:shd w:val="clear" w:color="auto" w:fill="auto"/>
        </w:rPr>
        <w:t>的批复</w:t>
      </w:r>
    </w:p>
    <w:p w14:paraId="0FEF002E">
      <w:pPr>
        <w:keepNext w:val="0"/>
        <w:keepLines w:val="0"/>
        <w:pageBreakBefore w:val="0"/>
        <w:kinsoku/>
        <w:wordWrap/>
        <w:overflowPunct/>
        <w:topLinePunct w:val="0"/>
        <w:autoSpaceDE/>
        <w:autoSpaceDN/>
        <w:adjustRightInd w:val="0"/>
        <w:snapToGrid w:val="0"/>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54F5B9A1">
      <w:pPr>
        <w:keepNext w:val="0"/>
        <w:keepLines w:val="0"/>
        <w:pageBreakBefore w:val="0"/>
        <w:kinsoku/>
        <w:wordWrap/>
        <w:overflowPunct/>
        <w:topLinePunct w:val="0"/>
        <w:autoSpaceDE/>
        <w:autoSpaceDN/>
        <w:adjustRightInd w:val="0"/>
        <w:snapToGrid w:val="0"/>
        <w:spacing w:line="560" w:lineRule="exact"/>
        <w:rPr>
          <w:rFonts w:eastAsia="仿宋_GB2312"/>
          <w:color w:val="auto"/>
          <w:sz w:val="32"/>
          <w:szCs w:val="32"/>
        </w:rPr>
      </w:pPr>
      <w:r>
        <w:rPr>
          <w:rFonts w:hint="eastAsia" w:ascii="Times New Roman" w:hAnsi="Times New Roman" w:eastAsia="仿宋_GB2312" w:cs="Times New Roman"/>
          <w:color w:val="auto"/>
          <w:kern w:val="0"/>
          <w:sz w:val="32"/>
          <w:szCs w:val="32"/>
          <w:lang w:val="en-US" w:eastAsia="zh-CN"/>
        </w:rPr>
        <w:t>黑龙江嘉益荣源绿色化工有限公司</w:t>
      </w:r>
      <w:r>
        <w:rPr>
          <w:rFonts w:ascii="Times New Roman" w:hAnsi="Times New Roman" w:eastAsia="仿宋_GB2312" w:cs="Times New Roman"/>
          <w:color w:val="auto"/>
          <w:kern w:val="0"/>
          <w:sz w:val="32"/>
          <w:szCs w:val="32"/>
        </w:rPr>
        <w:t>：</w:t>
      </w:r>
    </w:p>
    <w:p w14:paraId="02676739">
      <w:pPr>
        <w:keepNext w:val="0"/>
        <w:keepLines w:val="0"/>
        <w:pageBreakBefore w:val="0"/>
        <w:widowControl w:val="0"/>
        <w:kinsoku/>
        <w:wordWrap/>
        <w:overflowPunct/>
        <w:topLinePunct w:val="0"/>
        <w:autoSpaceDE/>
        <w:autoSpaceDN/>
        <w:adjustRightInd/>
        <w:snapToGrid/>
        <w:spacing w:line="560" w:lineRule="exact"/>
        <w:ind w:firstLine="640" w:firstLineChars="200"/>
        <w:rPr>
          <w:rFonts w:hint="eastAsia" w:eastAsia="仿宋_GB2312"/>
          <w:color w:val="auto"/>
          <w:kern w:val="0"/>
          <w:sz w:val="32"/>
          <w:szCs w:val="32"/>
        </w:rPr>
      </w:pPr>
      <w:r>
        <w:rPr>
          <w:rFonts w:ascii="Times New Roman" w:hAnsi="Times New Roman" w:eastAsia="仿宋_GB2312" w:cs="Times New Roman"/>
          <w:color w:val="auto"/>
          <w:kern w:val="0"/>
          <w:sz w:val="32"/>
          <w:szCs w:val="32"/>
        </w:rPr>
        <w:t>你单位《关于申请</w:t>
      </w:r>
      <w:r>
        <w:rPr>
          <w:rFonts w:hint="eastAsia" w:eastAsia="仿宋_GB2312" w:cs="Times New Roman"/>
          <w:color w:val="auto"/>
          <w:kern w:val="0"/>
          <w:sz w:val="32"/>
          <w:szCs w:val="32"/>
          <w:lang w:eastAsia="zh-CN"/>
        </w:rPr>
        <w:t>黑龙江省鸡西市鸡东县30万吨绿氢醇航油化工联产项目</w:t>
      </w:r>
      <w:r>
        <w:rPr>
          <w:rFonts w:ascii="Times New Roman" w:hAnsi="Times New Roman" w:eastAsia="仿宋_GB2312" w:cs="Times New Roman"/>
          <w:color w:val="auto"/>
          <w:spacing w:val="-6"/>
          <w:sz w:val="32"/>
          <w:szCs w:val="32"/>
        </w:rPr>
        <w:t>环境影响评价文件的函</w:t>
      </w:r>
      <w:r>
        <w:rPr>
          <w:rFonts w:ascii="Times New Roman" w:hAnsi="Times New Roman" w:eastAsia="仿宋_GB2312" w:cs="Times New Roman"/>
          <w:color w:val="auto"/>
          <w:kern w:val="0"/>
          <w:sz w:val="32"/>
          <w:szCs w:val="32"/>
        </w:rPr>
        <w:t>》及相关材料收悉，经研究，批复如下。</w:t>
      </w:r>
    </w:p>
    <w:p w14:paraId="2AA813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一、项目基本情况</w:t>
      </w:r>
    </w:p>
    <w:p w14:paraId="54FFDA79">
      <w:pPr>
        <w:keepNext w:val="0"/>
        <w:keepLines w:val="0"/>
        <w:pageBreakBefore w:val="0"/>
        <w:widowControl w:val="0"/>
        <w:kinsoku/>
        <w:wordWrap/>
        <w:overflowPunct/>
        <w:topLinePunct w:val="0"/>
        <w:autoSpaceDE/>
        <w:autoSpaceDN/>
        <w:adjustRightInd/>
        <w:snapToGrid/>
        <w:spacing w:line="560" w:lineRule="exact"/>
        <w:ind w:firstLine="640" w:firstLineChars="200"/>
        <w:rPr>
          <w:rFonts w:hint="eastAsia"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该项目</w:t>
      </w:r>
      <w:r>
        <w:rPr>
          <w:rFonts w:hint="eastAsia" w:eastAsia="仿宋_GB2312" w:cs="Times New Roman"/>
          <w:color w:val="auto"/>
          <w:sz w:val="32"/>
          <w:szCs w:val="32"/>
          <w:lang w:val="en-US" w:eastAsia="zh-CN"/>
        </w:rPr>
        <w:t>属新建工程</w:t>
      </w:r>
      <w:r>
        <w:rPr>
          <w:rFonts w:hint="eastAsia"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拟建</w:t>
      </w:r>
      <w:r>
        <w:rPr>
          <w:rFonts w:ascii="Times New Roman" w:hAnsi="Times New Roman" w:eastAsia="仿宋_GB2312" w:cs="Times New Roman"/>
          <w:color w:val="auto"/>
          <w:sz w:val="32"/>
          <w:szCs w:val="32"/>
        </w:rPr>
        <w:t>于</w:t>
      </w:r>
      <w:r>
        <w:rPr>
          <w:rFonts w:hint="default" w:ascii="Times New Roman" w:hAnsi="Times New Roman" w:eastAsia="仿宋_GB2312" w:cs="Times New Roman"/>
          <w:color w:val="auto"/>
          <w:sz w:val="32"/>
          <w:szCs w:val="32"/>
          <w:lang w:eastAsia="zh-CN"/>
        </w:rPr>
        <w:t>黑龙江省鸡西市鸡东经济开发区</w:t>
      </w:r>
      <w:r>
        <w:rPr>
          <w:rFonts w:hint="eastAsia" w:ascii="Times New Roman" w:hAnsi="Times New Roman" w:eastAsia="仿宋_GB2312" w:cs="Times New Roman"/>
          <w:color w:val="auto"/>
          <w:sz w:val="32"/>
          <w:szCs w:val="32"/>
          <w:lang w:val="en-US" w:eastAsia="zh-CN"/>
        </w:rPr>
        <w:t>化工园区</w:t>
      </w:r>
      <w:r>
        <w:rPr>
          <w:rFonts w:hint="eastAsia" w:eastAsia="仿宋_GB2312" w:cs="Times New Roman"/>
          <w:color w:val="auto"/>
          <w:sz w:val="32"/>
          <w:szCs w:val="32"/>
          <w:lang w:val="en-US" w:eastAsia="zh-CN"/>
        </w:rPr>
        <w:t>，占地面积44.52hm</w:t>
      </w:r>
      <w:r>
        <w:rPr>
          <w:rFonts w:hint="eastAsia" w:eastAsia="仿宋_GB2312" w:cs="Times New Roman"/>
          <w:color w:val="auto"/>
          <w:sz w:val="32"/>
          <w:szCs w:val="32"/>
          <w:vertAlign w:val="superscript"/>
          <w:lang w:val="en-US" w:eastAsia="zh-CN"/>
        </w:rPr>
        <w:t>2</w:t>
      </w:r>
      <w:r>
        <w:rPr>
          <w:rFonts w:hint="eastAsia" w:eastAsia="仿宋_GB2312" w:cs="Times New Roman"/>
          <w:color w:val="auto"/>
          <w:sz w:val="32"/>
          <w:szCs w:val="32"/>
          <w:vertAlign w:val="baseline"/>
          <w:lang w:val="en-US" w:eastAsia="zh-CN"/>
        </w:rPr>
        <w:t>。</w:t>
      </w:r>
      <w:r>
        <w:rPr>
          <w:rFonts w:hint="eastAsia" w:eastAsia="仿宋_GB2312" w:cs="Times New Roman"/>
          <w:color w:val="auto"/>
          <w:sz w:val="32"/>
          <w:szCs w:val="32"/>
          <w:lang w:val="en-US" w:eastAsia="zh-CN"/>
        </w:rPr>
        <w:t>项目新建乙醇装置区、甲醇装置区、辅助设施区、储运区、配套环保工程等。项目建成后，以生物质秸秆为原料，年产乙醇8万吨、绿色甲醇24万吨。项目总投资268874 万元，其中环保投资3060万元。</w:t>
      </w:r>
    </w:p>
    <w:p w14:paraId="4F2516A0">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lang w:val="en-US" w:eastAsia="zh-CN" w:bidi="ar-SA"/>
        </w:rPr>
        <w:t>项目的生产用电及动力蒸汽均来自项目同期建设的生物质热电装置，生物质热电装置未建成运行前，</w:t>
      </w:r>
      <w:r>
        <w:rPr>
          <w:rFonts w:hint="eastAsia" w:ascii="Times New Roman" w:hAnsi="Times New Roman" w:eastAsia="仿宋_GB2312" w:cs="Times New Roman"/>
          <w:color w:val="auto"/>
          <w:kern w:val="0"/>
          <w:sz w:val="32"/>
          <w:szCs w:val="32"/>
          <w:lang w:val="en-US" w:eastAsia="zh-CN" w:bidi="ar-SA"/>
        </w:rPr>
        <w:t>该</w:t>
      </w:r>
      <w:r>
        <w:rPr>
          <w:rFonts w:hint="default" w:ascii="Times New Roman" w:hAnsi="Times New Roman" w:eastAsia="仿宋_GB2312" w:cs="Times New Roman"/>
          <w:color w:val="auto"/>
          <w:kern w:val="0"/>
          <w:sz w:val="32"/>
          <w:szCs w:val="32"/>
          <w:lang w:val="en-US" w:eastAsia="zh-CN" w:bidi="ar-SA"/>
        </w:rPr>
        <w:t>项目不得投产。</w:t>
      </w:r>
    </w:p>
    <w:p w14:paraId="6915AF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FF"/>
          <w:sz w:val="32"/>
          <w:szCs w:val="32"/>
          <w:lang w:val="en-US" w:eastAsia="zh-CN"/>
        </w:rPr>
      </w:pPr>
      <w:r>
        <w:rPr>
          <w:rFonts w:hint="eastAsia" w:ascii="Times New Roman" w:hAnsi="Times New Roman" w:eastAsia="仿宋_GB2312" w:cs="Times New Roman"/>
          <w:color w:val="auto"/>
          <w:sz w:val="32"/>
          <w:szCs w:val="32"/>
          <w:lang w:val="en-US" w:eastAsia="zh-CN"/>
        </w:rPr>
        <w:t>该项目在全面落实《黑龙江省鸡西市鸡东县30万吨绿氢醇航油化工联产项目环境影响报告书》（以下简称《报告书》）和</w:t>
      </w:r>
      <w:r>
        <w:rPr>
          <w:rFonts w:hint="default" w:ascii="Times New Roman" w:hAnsi="Times New Roman" w:eastAsia="仿宋_GB2312" w:cs="Times New Roman"/>
          <w:color w:val="auto"/>
          <w:kern w:val="0"/>
          <w:sz w:val="32"/>
          <w:szCs w:val="32"/>
          <w:lang w:val="en-US" w:eastAsia="zh-CN" w:bidi="ar-SA"/>
        </w:rPr>
        <w:t>本批复提出的各项生态环境保护措施后，对环境的不利影响可以得到缓解和控制。我局原则同意《报告</w:t>
      </w:r>
      <w:r>
        <w:rPr>
          <w:rFonts w:hint="eastAsia" w:eastAsia="仿宋_GB2312" w:cs="Times New Roman"/>
          <w:color w:val="auto"/>
          <w:kern w:val="0"/>
          <w:sz w:val="32"/>
          <w:szCs w:val="32"/>
          <w:lang w:val="en-US" w:eastAsia="zh-CN" w:bidi="ar-SA"/>
        </w:rPr>
        <w:t>书</w:t>
      </w:r>
      <w:r>
        <w:rPr>
          <w:rFonts w:hint="default" w:ascii="Times New Roman" w:hAnsi="Times New Roman" w:eastAsia="仿宋_GB2312" w:cs="Times New Roman"/>
          <w:color w:val="auto"/>
          <w:kern w:val="0"/>
          <w:sz w:val="32"/>
          <w:szCs w:val="32"/>
          <w:lang w:val="en-US" w:eastAsia="zh-CN" w:bidi="ar-SA"/>
        </w:rPr>
        <w:t>》中的环境影响评价总体结论和各项生态环境保护措施。</w:t>
      </w:r>
    </w:p>
    <w:p w14:paraId="1C1716B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二、项目建设的主要生态环境影响及保护措施</w:t>
      </w:r>
    </w:p>
    <w:p w14:paraId="08D119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eastAsia="方正楷体_GBK" w:cs="方正楷体_GBK"/>
          <w:color w:val="auto"/>
          <w:sz w:val="32"/>
          <w:szCs w:val="32"/>
          <w:lang w:eastAsia="zh-CN"/>
        </w:rPr>
        <w:t>（一）施工期环境影响及保护措施。</w:t>
      </w:r>
      <w:r>
        <w:rPr>
          <w:rFonts w:hint="eastAsia" w:ascii="Times New Roman" w:hAnsi="Times New Roman" w:eastAsia="仿宋_GB2312" w:cs="Times New Roman"/>
          <w:color w:val="auto"/>
          <w:sz w:val="32"/>
          <w:szCs w:val="32"/>
          <w:lang w:val="en-US" w:eastAsia="zh-CN"/>
        </w:rPr>
        <w:t>施工场地设立围挡，施工材料定点堆放并加装防风抑尘网，运输车辆加盖苫布，按时洒水降尘，禁止在大风等特殊天气施工，施工期厂界颗粒物排放浓度应符合《大气污染物综合排放标准》（GB16297-1996）要求。项目施工期生活污水排入临时防渗化粪池，定期清掏排入鸡东县污水处理厂处理。施工废水排入临时沉淀池，经沉淀后回用于厂内洒水降尘。选用低噪声机械，加设隔声屏障，合理安排施工时间，噪声应符合《建筑施工场界环境噪声排放标准》（GB12523-2011）要求。建筑垃圾和施工弃土及时清运至指定地点处置，生活垃圾集中收集，由环卫部门定期清运。</w:t>
      </w:r>
    </w:p>
    <w:p w14:paraId="238B81E3">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仿宋_GB2312" w:cs="Times New Roman"/>
          <w:color w:val="0000FF"/>
          <w:sz w:val="32"/>
          <w:szCs w:val="32"/>
          <w:lang w:val="en-US" w:eastAsia="zh-CN"/>
        </w:rPr>
      </w:pPr>
      <w:r>
        <w:rPr>
          <w:rFonts w:hint="eastAsia" w:ascii="方正楷体_GBK" w:hAnsi="方正楷体_GBK" w:eastAsia="方正楷体_GBK" w:cs="方正楷体_GBK"/>
          <w:color w:val="auto"/>
          <w:sz w:val="32"/>
          <w:szCs w:val="32"/>
          <w:lang w:eastAsia="zh-CN"/>
        </w:rPr>
        <w:t>（</w:t>
      </w:r>
      <w:r>
        <w:rPr>
          <w:rFonts w:ascii="方正楷体_GBK" w:hAnsi="方正楷体_GBK" w:eastAsia="方正楷体_GBK" w:cs="方正楷体_GBK"/>
          <w:color w:val="auto"/>
          <w:sz w:val="32"/>
          <w:szCs w:val="32"/>
          <w:lang w:eastAsia="zh-CN"/>
        </w:rPr>
        <w:t>二</w:t>
      </w:r>
      <w:r>
        <w:rPr>
          <w:rFonts w:hint="eastAsia" w:ascii="方正楷体_GBK" w:hAnsi="方正楷体_GBK" w:eastAsia="方正楷体_GBK" w:cs="方正楷体_GBK"/>
          <w:color w:val="auto"/>
          <w:sz w:val="32"/>
          <w:szCs w:val="32"/>
          <w:lang w:eastAsia="zh-CN"/>
        </w:rPr>
        <w:t>）</w:t>
      </w:r>
      <w:r>
        <w:rPr>
          <w:rFonts w:ascii="方正楷体_GBK" w:hAnsi="方正楷体_GBK" w:eastAsia="方正楷体_GBK" w:cs="方正楷体_GBK"/>
          <w:color w:val="auto"/>
          <w:sz w:val="32"/>
          <w:szCs w:val="32"/>
          <w:lang w:eastAsia="zh-CN"/>
        </w:rPr>
        <w:t>大气环境</w:t>
      </w:r>
      <w:r>
        <w:rPr>
          <w:rFonts w:hint="eastAsia" w:ascii="方正楷体_GBK" w:hAnsi="方正楷体_GBK" w:eastAsia="方正楷体_GBK" w:cs="方正楷体_GBK"/>
          <w:color w:val="auto"/>
          <w:sz w:val="32"/>
          <w:szCs w:val="32"/>
          <w:lang w:eastAsia="zh-CN"/>
        </w:rPr>
        <w:t>影响</w:t>
      </w:r>
      <w:r>
        <w:rPr>
          <w:rFonts w:hint="eastAsia" w:ascii="方正楷体_GBK" w:hAnsi="方正楷体_GBK" w:eastAsia="方正楷体_GBK" w:cs="方正楷体_GBK"/>
          <w:color w:val="auto"/>
          <w:sz w:val="32"/>
          <w:szCs w:val="32"/>
          <w:lang w:val="en-US" w:eastAsia="zh-CN"/>
        </w:rPr>
        <w:t>及保护措施</w:t>
      </w:r>
      <w:r>
        <w:rPr>
          <w:rFonts w:hint="eastAsia" w:ascii="方正楷体_GBK" w:hAnsi="方正楷体_GBK" w:eastAsia="方正楷体_GBK" w:cs="方正楷体_GBK"/>
          <w:color w:val="auto"/>
          <w:sz w:val="32"/>
          <w:szCs w:val="32"/>
          <w:lang w:eastAsia="zh-CN"/>
        </w:rPr>
        <w:t>。</w:t>
      </w:r>
      <w:r>
        <w:rPr>
          <w:rFonts w:hint="eastAsia" w:ascii="Times New Roman" w:hAnsi="Times New Roman" w:eastAsia="仿宋_GB2312" w:cs="Times New Roman"/>
          <w:color w:val="auto"/>
          <w:sz w:val="32"/>
          <w:szCs w:val="32"/>
          <w:lang w:val="en-US" w:eastAsia="zh-CN"/>
        </w:rPr>
        <w:t>项目乙醇装置备料工序拆包、粉碎等过程产生的颗粒物经负压收集和布袋除尘器处理后通过30米排气筒排放。颗粒物排放浓度和</w:t>
      </w:r>
      <w:r>
        <w:rPr>
          <w:rFonts w:hint="eastAsia" w:eastAsia="仿宋_GB2312" w:cs="Times New Roman"/>
          <w:color w:val="auto"/>
          <w:sz w:val="32"/>
          <w:szCs w:val="32"/>
          <w:lang w:val="en-US" w:eastAsia="zh-CN"/>
        </w:rPr>
        <w:t>排放</w:t>
      </w:r>
      <w:r>
        <w:rPr>
          <w:rFonts w:hint="eastAsia" w:ascii="Times New Roman" w:hAnsi="Times New Roman" w:eastAsia="仿宋_GB2312" w:cs="Times New Roman"/>
          <w:color w:val="auto"/>
          <w:sz w:val="32"/>
          <w:szCs w:val="32"/>
          <w:lang w:val="en-US" w:eastAsia="zh-CN"/>
        </w:rPr>
        <w:t>速率应符合《大气污染物综合排放标准》(GB16297</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1996) 要求，</w:t>
      </w:r>
      <w:r>
        <w:rPr>
          <w:rFonts w:hint="eastAsia" w:eastAsia="仿宋_GB2312" w:cs="Times New Roman"/>
          <w:color w:val="auto"/>
          <w:sz w:val="32"/>
          <w:szCs w:val="32"/>
          <w:lang w:val="en-US" w:eastAsia="zh-CN"/>
        </w:rPr>
        <w:t>且</w:t>
      </w:r>
      <w:r>
        <w:rPr>
          <w:rFonts w:hint="eastAsia" w:ascii="Times New Roman" w:hAnsi="Times New Roman" w:eastAsia="仿宋_GB2312" w:cs="Times New Roman"/>
          <w:color w:val="auto"/>
          <w:sz w:val="32"/>
          <w:szCs w:val="32"/>
          <w:lang w:val="en-US" w:eastAsia="zh-CN"/>
        </w:rPr>
        <w:t>排放速率</w:t>
      </w:r>
      <w:r>
        <w:rPr>
          <w:rFonts w:hint="eastAsia" w:eastAsia="仿宋_GB2312" w:cs="Times New Roman"/>
          <w:color w:val="auto"/>
          <w:sz w:val="32"/>
          <w:szCs w:val="32"/>
          <w:lang w:val="en-US" w:eastAsia="zh-CN"/>
        </w:rPr>
        <w:t>应按标准值</w:t>
      </w:r>
      <w:r>
        <w:rPr>
          <w:rFonts w:hint="eastAsia" w:ascii="Times New Roman" w:hAnsi="Times New Roman" w:eastAsia="仿宋_GB2312" w:cs="Times New Roman"/>
          <w:color w:val="auto"/>
          <w:sz w:val="32"/>
          <w:szCs w:val="32"/>
          <w:lang w:val="en-US" w:eastAsia="zh-CN"/>
        </w:rPr>
        <w:t>严格50%执行。乙醇装置发酵工段废气经</w:t>
      </w:r>
      <w:r>
        <w:rPr>
          <w:rFonts w:hint="default" w:ascii="Times New Roman" w:hAnsi="Times New Roman" w:eastAsia="仿宋_GB2312" w:cs="Times New Roman"/>
          <w:color w:val="auto"/>
          <w:sz w:val="32"/>
          <w:szCs w:val="32"/>
          <w:lang w:val="en-US" w:eastAsia="zh-CN"/>
        </w:rPr>
        <w:t>水洗塔</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离心除雾</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活性炭吸附</w:t>
      </w:r>
      <w:r>
        <w:rPr>
          <w:rFonts w:hint="eastAsia" w:eastAsia="仿宋_GB2312" w:cs="Times New Roman"/>
          <w:color w:val="auto"/>
          <w:sz w:val="32"/>
          <w:szCs w:val="32"/>
          <w:lang w:val="en-US" w:eastAsia="zh-CN"/>
        </w:rPr>
        <w:t>处理后通过25米排气筒排放。</w:t>
      </w:r>
      <w:r>
        <w:rPr>
          <w:rFonts w:hint="eastAsia" w:ascii="Times New Roman" w:hAnsi="Times New Roman" w:eastAsia="仿宋_GB2312" w:cs="Times New Roman"/>
          <w:color w:val="auto"/>
          <w:sz w:val="32"/>
          <w:szCs w:val="32"/>
          <w:lang w:val="en-US" w:eastAsia="zh-CN"/>
        </w:rPr>
        <w:t>乙醇装置蒸馏</w:t>
      </w:r>
      <w:r>
        <w:rPr>
          <w:rFonts w:hint="eastAsia" w:eastAsia="仿宋_GB2312" w:cs="Times New Roman"/>
          <w:color w:val="auto"/>
          <w:sz w:val="32"/>
          <w:szCs w:val="32"/>
          <w:lang w:val="en-US" w:eastAsia="zh-CN"/>
        </w:rPr>
        <w:t>脱水</w:t>
      </w:r>
      <w:r>
        <w:rPr>
          <w:rFonts w:hint="eastAsia" w:ascii="Times New Roman" w:hAnsi="Times New Roman" w:eastAsia="仿宋_GB2312" w:cs="Times New Roman"/>
          <w:color w:val="auto"/>
          <w:sz w:val="32"/>
          <w:szCs w:val="32"/>
          <w:lang w:val="en-US" w:eastAsia="zh-CN"/>
        </w:rPr>
        <w:t>工段废气经</w:t>
      </w:r>
      <w:r>
        <w:rPr>
          <w:rFonts w:hint="default" w:ascii="Times New Roman" w:hAnsi="Times New Roman" w:eastAsia="仿宋_GB2312" w:cs="Times New Roman"/>
          <w:color w:val="auto"/>
          <w:sz w:val="32"/>
          <w:szCs w:val="32"/>
          <w:lang w:val="en-US" w:eastAsia="zh-CN"/>
        </w:rPr>
        <w:t>水洗塔</w:t>
      </w:r>
      <w:r>
        <w:rPr>
          <w:rFonts w:hint="eastAsia"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lang w:val="en-US" w:eastAsia="zh-CN"/>
        </w:rPr>
        <w:t>活性炭吸附</w:t>
      </w:r>
      <w:r>
        <w:rPr>
          <w:rFonts w:hint="eastAsia" w:eastAsia="仿宋_GB2312" w:cs="Times New Roman"/>
          <w:color w:val="auto"/>
          <w:sz w:val="32"/>
          <w:szCs w:val="32"/>
          <w:lang w:val="en-US" w:eastAsia="zh-CN"/>
        </w:rPr>
        <w:t>处理后通过25米排气筒排放。</w:t>
      </w:r>
      <w:bookmarkStart w:id="0" w:name="_GoBack"/>
      <w:bookmarkEnd w:id="0"/>
      <w:r>
        <w:rPr>
          <w:rFonts w:hint="eastAsia" w:ascii="Times New Roman" w:hAnsi="Times New Roman" w:eastAsia="仿宋_GB2312" w:cs="Times New Roman"/>
          <w:color w:val="auto"/>
          <w:sz w:val="32"/>
          <w:szCs w:val="32"/>
          <w:lang w:val="en-US" w:eastAsia="zh-CN"/>
        </w:rPr>
        <w:t>乙醇装置蒸发工段废气</w:t>
      </w:r>
      <w:r>
        <w:rPr>
          <w:rFonts w:hint="eastAsia" w:eastAsia="仿宋_GB2312" w:cs="Times New Roman"/>
          <w:color w:val="auto"/>
          <w:sz w:val="32"/>
          <w:szCs w:val="32"/>
          <w:lang w:val="en-US" w:eastAsia="zh-CN"/>
        </w:rPr>
        <w:t>经</w:t>
      </w:r>
      <w:r>
        <w:rPr>
          <w:rFonts w:hint="eastAsia" w:ascii="Times New Roman" w:hAnsi="Times New Roman" w:eastAsia="仿宋_GB2312" w:cs="Times New Roman"/>
          <w:color w:val="auto"/>
          <w:sz w:val="32"/>
          <w:szCs w:val="32"/>
          <w:lang w:val="en-US" w:eastAsia="zh-CN"/>
        </w:rPr>
        <w:t>水洗塔</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离心除雾</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活性炭吸附处理后</w:t>
      </w:r>
      <w:r>
        <w:rPr>
          <w:rFonts w:hint="eastAsia" w:eastAsia="仿宋_GB2312" w:cs="Times New Roman"/>
          <w:color w:val="auto"/>
          <w:sz w:val="32"/>
          <w:szCs w:val="32"/>
          <w:lang w:val="en-US" w:eastAsia="zh-CN"/>
        </w:rPr>
        <w:t>通过2</w:t>
      </w:r>
      <w:r>
        <w:rPr>
          <w:rFonts w:hint="eastAsia" w:ascii="Times New Roman" w:hAnsi="Times New Roman" w:eastAsia="仿宋_GB2312" w:cs="Times New Roman"/>
          <w:color w:val="auto"/>
          <w:sz w:val="32"/>
          <w:szCs w:val="32"/>
          <w:lang w:val="en-US" w:eastAsia="zh-CN"/>
        </w:rPr>
        <w:t>5米排气筒排放。甲醇装置生物质气化工序真空泵排气</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变换装置产生的汽提塔不凝气</w:t>
      </w:r>
      <w:r>
        <w:rPr>
          <w:rFonts w:hint="eastAsia"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lang w:val="en-US" w:eastAsia="zh-CN"/>
        </w:rPr>
        <w:t>低温甲醇洗酸性气送</w:t>
      </w:r>
      <w:r>
        <w:rPr>
          <w:rFonts w:hint="eastAsia" w:eastAsia="仿宋_GB2312" w:cs="Times New Roman"/>
          <w:color w:val="auto"/>
          <w:sz w:val="32"/>
          <w:szCs w:val="32"/>
          <w:lang w:val="en-US" w:eastAsia="zh-CN"/>
        </w:rPr>
        <w:t>至</w:t>
      </w:r>
      <w:r>
        <w:rPr>
          <w:rFonts w:hint="eastAsia" w:ascii="Times New Roman" w:hAnsi="Times New Roman" w:eastAsia="仿宋_GB2312" w:cs="Times New Roman"/>
          <w:color w:val="auto"/>
          <w:sz w:val="32"/>
          <w:szCs w:val="32"/>
          <w:lang w:val="en-US" w:eastAsia="zh-CN"/>
        </w:rPr>
        <w:t>硫回收装置处理</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highlight w:val="none"/>
          <w:lang w:val="en-US" w:eastAsia="zh-CN"/>
        </w:rPr>
        <w:t>制硫尾气送至项目同期建设的生物质锅炉脱硫装置处理。甲醇装置低温甲醇洗过程</w:t>
      </w:r>
      <w:r>
        <w:rPr>
          <w:rFonts w:hint="eastAsia" w:eastAsia="仿宋_GB2312" w:cs="Times New Roman"/>
          <w:color w:val="auto"/>
          <w:sz w:val="32"/>
          <w:szCs w:val="32"/>
          <w:highlight w:val="none"/>
          <w:lang w:val="en-US" w:eastAsia="zh-CN"/>
        </w:rPr>
        <w:t>废气经</w:t>
      </w:r>
      <w:r>
        <w:rPr>
          <w:rFonts w:hint="eastAsia" w:ascii="Times New Roman" w:hAnsi="Times New Roman" w:eastAsia="仿宋_GB2312" w:cs="Times New Roman"/>
          <w:color w:val="auto"/>
          <w:sz w:val="32"/>
          <w:szCs w:val="32"/>
          <w:highlight w:val="none"/>
          <w:lang w:val="en-US" w:eastAsia="zh-CN"/>
        </w:rPr>
        <w:t>水洗塔进行水洗</w:t>
      </w:r>
      <w:r>
        <w:rPr>
          <w:rFonts w:hint="eastAsia" w:eastAsia="仿宋_GB2312" w:cs="Times New Roman"/>
          <w:color w:val="auto"/>
          <w:sz w:val="32"/>
          <w:szCs w:val="32"/>
          <w:highlight w:val="none"/>
          <w:lang w:val="en-US" w:eastAsia="zh-CN"/>
        </w:rPr>
        <w:t>和</w:t>
      </w:r>
      <w:r>
        <w:rPr>
          <w:rFonts w:hint="eastAsia" w:ascii="Times New Roman" w:hAnsi="Times New Roman" w:eastAsia="仿宋_GB2312" w:cs="Times New Roman"/>
          <w:color w:val="auto"/>
          <w:sz w:val="32"/>
          <w:szCs w:val="32"/>
          <w:highlight w:val="none"/>
          <w:lang w:val="en-US" w:eastAsia="zh-CN"/>
        </w:rPr>
        <w:t>回收</w:t>
      </w:r>
      <w:r>
        <w:rPr>
          <w:rFonts w:hint="eastAsia" w:eastAsia="仿宋_GB2312" w:cs="Times New Roman"/>
          <w:color w:val="auto"/>
          <w:sz w:val="32"/>
          <w:szCs w:val="32"/>
          <w:highlight w:val="none"/>
          <w:lang w:val="en-US" w:eastAsia="zh-CN"/>
        </w:rPr>
        <w:t>处理后</w:t>
      </w:r>
      <w:r>
        <w:rPr>
          <w:rFonts w:hint="eastAsia" w:ascii="Times New Roman" w:hAnsi="Times New Roman" w:eastAsia="仿宋_GB2312" w:cs="Times New Roman"/>
          <w:color w:val="auto"/>
          <w:sz w:val="32"/>
          <w:szCs w:val="32"/>
          <w:highlight w:val="none"/>
          <w:lang w:val="en-US" w:eastAsia="zh-CN"/>
        </w:rPr>
        <w:t>通过25</w:t>
      </w:r>
      <w:r>
        <w:rPr>
          <w:rFonts w:hint="eastAsia" w:eastAsia="仿宋_GB2312" w:cs="Times New Roman"/>
          <w:color w:val="auto"/>
          <w:sz w:val="32"/>
          <w:szCs w:val="32"/>
          <w:highlight w:val="none"/>
          <w:lang w:val="en-US" w:eastAsia="zh-CN"/>
        </w:rPr>
        <w:t>米</w:t>
      </w:r>
      <w:r>
        <w:rPr>
          <w:rFonts w:hint="eastAsia" w:ascii="Times New Roman" w:hAnsi="Times New Roman" w:eastAsia="仿宋_GB2312" w:cs="Times New Roman"/>
          <w:color w:val="auto"/>
          <w:sz w:val="32"/>
          <w:szCs w:val="32"/>
          <w:highlight w:val="none"/>
          <w:lang w:val="en-US" w:eastAsia="zh-CN"/>
        </w:rPr>
        <w:t>排气筒排放。</w:t>
      </w:r>
      <w:r>
        <w:rPr>
          <w:rFonts w:hint="eastAsia" w:ascii="Times New Roman" w:hAnsi="Times New Roman" w:eastAsia="仿宋_GB2312" w:cs="Times New Roman"/>
          <w:color w:val="auto"/>
          <w:sz w:val="32"/>
          <w:szCs w:val="32"/>
          <w:lang w:val="en-US" w:eastAsia="zh-CN"/>
        </w:rPr>
        <w:t>甲醇合成装置闪蒸气、氢回收尾气、甲醇精馏装置洗涤塔不凝气</w:t>
      </w:r>
      <w:r>
        <w:rPr>
          <w:rFonts w:hint="eastAsia" w:eastAsia="仿宋_GB2312" w:cs="Times New Roman"/>
          <w:color w:val="auto"/>
          <w:sz w:val="32"/>
          <w:szCs w:val="32"/>
          <w:lang w:val="en-US" w:eastAsia="zh-CN"/>
        </w:rPr>
        <w:t>等</w:t>
      </w:r>
      <w:r>
        <w:rPr>
          <w:rFonts w:hint="eastAsia" w:ascii="Times New Roman" w:hAnsi="Times New Roman" w:eastAsia="仿宋_GB2312" w:cs="Times New Roman"/>
          <w:color w:val="auto"/>
          <w:sz w:val="32"/>
          <w:szCs w:val="32"/>
          <w:lang w:val="en-US" w:eastAsia="zh-CN"/>
        </w:rPr>
        <w:t>送</w:t>
      </w:r>
      <w:r>
        <w:rPr>
          <w:rFonts w:hint="eastAsia" w:eastAsia="仿宋_GB2312" w:cs="Times New Roman"/>
          <w:color w:val="auto"/>
          <w:sz w:val="32"/>
          <w:szCs w:val="32"/>
          <w:lang w:val="en-US" w:eastAsia="zh-CN"/>
        </w:rPr>
        <w:t>至</w:t>
      </w:r>
      <w:r>
        <w:rPr>
          <w:rFonts w:hint="eastAsia" w:ascii="Times New Roman" w:hAnsi="Times New Roman" w:eastAsia="仿宋_GB2312" w:cs="Times New Roman"/>
          <w:color w:val="auto"/>
          <w:sz w:val="32"/>
          <w:szCs w:val="32"/>
          <w:lang w:val="en-US" w:eastAsia="zh-CN"/>
        </w:rPr>
        <w:t>项目同期建设的生物质锅炉燃烧处理。罐区甲醇、乙醇储罐采用内浮顶</w:t>
      </w:r>
      <w:r>
        <w:rPr>
          <w:rFonts w:hint="eastAsia"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lang w:val="en-US" w:eastAsia="zh-CN"/>
        </w:rPr>
        <w:t>氮封的形式，并对储罐的呼吸气进行收集，装载废气经管道收集后，与储罐呼吸废气共同经二级水洗塔</w:t>
      </w:r>
      <w:r>
        <w:rPr>
          <w:rFonts w:hint="eastAsia" w:eastAsia="仿宋_GB2312" w:cs="Times New Roman"/>
          <w:color w:val="auto"/>
          <w:sz w:val="32"/>
          <w:szCs w:val="32"/>
          <w:lang w:val="en-US" w:eastAsia="zh-CN"/>
        </w:rPr>
        <w:t>处理</w:t>
      </w:r>
      <w:r>
        <w:rPr>
          <w:rFonts w:hint="eastAsia" w:ascii="Times New Roman" w:hAnsi="Times New Roman" w:eastAsia="仿宋_GB2312" w:cs="Times New Roman"/>
          <w:color w:val="auto"/>
          <w:sz w:val="32"/>
          <w:szCs w:val="32"/>
          <w:lang w:val="en-US" w:eastAsia="zh-CN"/>
        </w:rPr>
        <w:t>后</w:t>
      </w:r>
      <w:r>
        <w:rPr>
          <w:rFonts w:hint="eastAsia" w:eastAsia="仿宋_GB2312" w:cs="Times New Roman"/>
          <w:color w:val="auto"/>
          <w:sz w:val="32"/>
          <w:szCs w:val="32"/>
          <w:lang w:val="en-US" w:eastAsia="zh-CN"/>
        </w:rPr>
        <w:t>通过</w:t>
      </w:r>
      <w:r>
        <w:rPr>
          <w:rFonts w:hint="eastAsia" w:ascii="Times New Roman" w:hAnsi="Times New Roman" w:eastAsia="仿宋_GB2312" w:cs="Times New Roman"/>
          <w:color w:val="auto"/>
          <w:sz w:val="32"/>
          <w:szCs w:val="32"/>
          <w:lang w:val="en-US" w:eastAsia="zh-CN"/>
        </w:rPr>
        <w:t>15</w:t>
      </w:r>
      <w:r>
        <w:rPr>
          <w:rFonts w:hint="eastAsia" w:eastAsia="仿宋_GB2312" w:cs="Times New Roman"/>
          <w:color w:val="auto"/>
          <w:sz w:val="32"/>
          <w:szCs w:val="32"/>
          <w:lang w:val="en-US" w:eastAsia="zh-CN"/>
        </w:rPr>
        <w:t>米</w:t>
      </w:r>
      <w:r>
        <w:rPr>
          <w:rFonts w:hint="eastAsia" w:ascii="Times New Roman" w:hAnsi="Times New Roman" w:eastAsia="仿宋_GB2312" w:cs="Times New Roman"/>
          <w:color w:val="auto"/>
          <w:sz w:val="32"/>
          <w:szCs w:val="32"/>
          <w:lang w:val="en-US" w:eastAsia="zh-CN"/>
        </w:rPr>
        <w:t>排气筒排放</w:t>
      </w:r>
      <w:r>
        <w:rPr>
          <w:rFonts w:hint="eastAsia" w:eastAsia="仿宋_GB2312" w:cs="Times New Roman"/>
          <w:color w:val="auto"/>
          <w:sz w:val="32"/>
          <w:szCs w:val="32"/>
          <w:lang w:val="en-US" w:eastAsia="zh-CN"/>
        </w:rPr>
        <w:t>。污水处理站废气经生物滤池装置处理后通过15米排气筒排放。危险废物贮存库废气采用</w:t>
      </w:r>
      <w:r>
        <w:rPr>
          <w:rFonts w:hint="eastAsia" w:ascii="Times New Roman" w:hAnsi="Times New Roman" w:eastAsia="仿宋_GB2312" w:cs="Times New Roman"/>
          <w:color w:val="auto"/>
          <w:sz w:val="32"/>
          <w:szCs w:val="32"/>
          <w:lang w:val="en-US" w:eastAsia="zh-CN"/>
        </w:rPr>
        <w:t>整体换风微负压收集</w:t>
      </w:r>
      <w:r>
        <w:rPr>
          <w:rFonts w:hint="eastAsia" w:eastAsia="仿宋_GB2312" w:cs="Times New Roman"/>
          <w:color w:val="auto"/>
          <w:sz w:val="32"/>
          <w:szCs w:val="32"/>
          <w:lang w:val="en-US" w:eastAsia="zh-CN"/>
        </w:rPr>
        <w:t>，经</w:t>
      </w:r>
      <w:r>
        <w:rPr>
          <w:rFonts w:hint="eastAsia" w:ascii="Times New Roman" w:hAnsi="Times New Roman" w:eastAsia="仿宋_GB2312" w:cs="Times New Roman"/>
          <w:color w:val="auto"/>
          <w:sz w:val="32"/>
          <w:szCs w:val="32"/>
          <w:lang w:val="en-US" w:eastAsia="zh-CN"/>
        </w:rPr>
        <w:t>二级活性炭</w:t>
      </w:r>
      <w:r>
        <w:rPr>
          <w:rFonts w:hint="eastAsia" w:eastAsia="仿宋_GB2312" w:cs="Times New Roman"/>
          <w:color w:val="auto"/>
          <w:sz w:val="32"/>
          <w:szCs w:val="32"/>
          <w:lang w:val="en-US" w:eastAsia="zh-CN"/>
        </w:rPr>
        <w:t>吸附处理后通过15米排气筒排放。恶臭气体排放应符合《恶臭污染物排放标准》（GB14554-93）要求，甲醇、非甲烷总烃排放应符合《石油化学工业污染物排放标准》（GB31571-2015，含2024年修改单）要求。项目应</w:t>
      </w:r>
      <w:r>
        <w:rPr>
          <w:rFonts w:hint="eastAsia" w:ascii="Times New Roman" w:hAnsi="Times New Roman" w:eastAsia="仿宋_GB2312" w:cs="Times New Roman"/>
          <w:color w:val="auto"/>
          <w:sz w:val="32"/>
          <w:szCs w:val="32"/>
          <w:lang w:val="en-US" w:eastAsia="zh-CN"/>
        </w:rPr>
        <w:t>强化挥发性有机物管控措施，有效控制无组织排放</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定期检测设备、设施动静密封点。厂房外非甲烷总烃</w:t>
      </w:r>
      <w:r>
        <w:rPr>
          <w:rFonts w:hint="eastAsia" w:eastAsia="仿宋_GB2312" w:cs="Times New Roman"/>
          <w:color w:val="auto"/>
          <w:sz w:val="32"/>
          <w:szCs w:val="32"/>
          <w:lang w:val="en-US" w:eastAsia="zh-CN"/>
        </w:rPr>
        <w:t>排放</w:t>
      </w:r>
      <w:r>
        <w:rPr>
          <w:rFonts w:hint="eastAsia" w:ascii="Times New Roman" w:hAnsi="Times New Roman" w:eastAsia="仿宋_GB2312" w:cs="Times New Roman"/>
          <w:color w:val="auto"/>
          <w:sz w:val="32"/>
          <w:szCs w:val="32"/>
          <w:lang w:val="en-US" w:eastAsia="zh-CN"/>
        </w:rPr>
        <w:t>浓度</w:t>
      </w:r>
      <w:r>
        <w:rPr>
          <w:rFonts w:hint="eastAsia" w:eastAsia="仿宋_GB2312" w:cs="Times New Roman"/>
          <w:color w:val="auto"/>
          <w:sz w:val="32"/>
          <w:szCs w:val="32"/>
          <w:lang w:val="en-US" w:eastAsia="zh-CN"/>
        </w:rPr>
        <w:t>应符合</w:t>
      </w:r>
      <w:r>
        <w:rPr>
          <w:rFonts w:hint="eastAsia" w:ascii="Times New Roman" w:hAnsi="Times New Roman" w:eastAsia="仿宋_GB2312" w:cs="Times New Roman"/>
          <w:color w:val="auto"/>
          <w:sz w:val="32"/>
          <w:szCs w:val="32"/>
          <w:lang w:val="en-US" w:eastAsia="zh-CN"/>
        </w:rPr>
        <w:t>《挥发性有机物无组织排放控制标准》(GB37822-2019) 要求。</w:t>
      </w:r>
      <w:r>
        <w:rPr>
          <w:rFonts w:hint="eastAsia" w:eastAsia="仿宋_GB2312" w:cs="Times New Roman"/>
          <w:color w:val="auto"/>
          <w:sz w:val="32"/>
          <w:szCs w:val="32"/>
          <w:lang w:val="en-US" w:eastAsia="zh-CN"/>
        </w:rPr>
        <w:t>厂界非甲烷总烃排放浓度应符合《石油化学工业污染物排放标准》（GB31571-2015，含2024年修改单）要求。</w:t>
      </w:r>
    </w:p>
    <w:p w14:paraId="161DBA66">
      <w:pPr>
        <w:keepNext w:val="0"/>
        <w:keepLines w:val="0"/>
        <w:pageBreakBefore w:val="0"/>
        <w:widowControl w:val="0"/>
        <w:numPr>
          <w:ilvl w:val="0"/>
          <w:numId w:val="0"/>
        </w:numPr>
        <w:kinsoku/>
        <w:wordWrap/>
        <w:overflowPunct/>
        <w:topLinePunct w:val="0"/>
        <w:autoSpaceDE/>
        <w:autoSpaceDN/>
        <w:adjustRightInd/>
        <w:snapToGrid/>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方正楷体_GBK" w:hAnsi="方正楷体_GBK" w:eastAsia="方正楷体_GBK" w:cs="方正楷体_GBK"/>
          <w:kern w:val="2"/>
          <w:sz w:val="32"/>
          <w:szCs w:val="32"/>
          <w:lang w:val="en-US" w:eastAsia="zh-CN" w:bidi="ar-SA"/>
        </w:rPr>
        <w:t>（三）</w:t>
      </w:r>
      <w:r>
        <w:rPr>
          <w:rFonts w:ascii="方正楷体_GBK" w:hAnsi="方正楷体_GBK" w:eastAsia="方正楷体_GBK" w:cs="方正楷体_GBK"/>
          <w:sz w:val="32"/>
          <w:szCs w:val="32"/>
        </w:rPr>
        <w:t>水环境影响及保护措施。</w:t>
      </w:r>
      <w:r>
        <w:rPr>
          <w:rFonts w:hint="eastAsia" w:ascii="方正仿宋_GB2312" w:hAnsi="方正仿宋_GB2312" w:eastAsia="方正仿宋_GB2312" w:cs="方正仿宋_GB2312"/>
          <w:color w:val="auto"/>
          <w:sz w:val="32"/>
          <w:szCs w:val="32"/>
          <w:lang w:val="en-US" w:eastAsia="zh-CN"/>
        </w:rPr>
        <w:t>项目建设一座处理能力7200m</w:t>
      </w:r>
      <w:r>
        <w:rPr>
          <w:rFonts w:hint="eastAsia" w:ascii="方正仿宋_GB2312" w:hAnsi="方正仿宋_GB2312" w:eastAsia="方正仿宋_GB2312" w:cs="方正仿宋_GB2312"/>
          <w:color w:val="auto"/>
          <w:sz w:val="32"/>
          <w:szCs w:val="32"/>
          <w:vertAlign w:val="superscript"/>
          <w:lang w:val="en-US" w:eastAsia="zh-CN"/>
        </w:rPr>
        <w:t>3</w:t>
      </w:r>
      <w:r>
        <w:rPr>
          <w:rFonts w:hint="eastAsia" w:ascii="方正仿宋_GB2312" w:hAnsi="方正仿宋_GB2312" w:eastAsia="方正仿宋_GB2312" w:cs="方正仿宋_GB2312"/>
          <w:color w:val="auto"/>
          <w:sz w:val="32"/>
          <w:szCs w:val="32"/>
          <w:lang w:val="en-US" w:eastAsia="zh-CN"/>
        </w:rPr>
        <w:t>/d的污水处理站，</w:t>
      </w:r>
      <w:r>
        <w:rPr>
          <w:rFonts w:hint="eastAsia" w:ascii="方正仿宋_GB2312" w:hAnsi="方正仿宋_GB2312" w:eastAsia="方正仿宋_GB2312" w:cs="方正仿宋_GB2312"/>
          <w:sz w:val="32"/>
          <w:szCs w:val="32"/>
          <w:lang w:val="en-US" w:eastAsia="zh-CN"/>
        </w:rPr>
        <w:t>采用</w:t>
      </w:r>
      <w:r>
        <w:rPr>
          <w:rFonts w:hint="eastAsia" w:eastAsia="仿宋_GB2312" w:cs="Times New Roman"/>
          <w:color w:val="auto"/>
          <w:sz w:val="32"/>
          <w:szCs w:val="32"/>
          <w:lang w:val="en-US" w:eastAsia="zh-CN"/>
        </w:rPr>
        <w:t>预处理、厌氧颗粒污泥床、A/O、二沉池、深度处理工艺，</w:t>
      </w:r>
      <w:r>
        <w:rPr>
          <w:rFonts w:hint="eastAsia" w:ascii="Times New Roman" w:hAnsi="Times New Roman" w:eastAsia="仿宋_GB2312" w:cs="Times New Roman"/>
          <w:color w:val="auto"/>
          <w:sz w:val="32"/>
          <w:szCs w:val="32"/>
          <w:lang w:val="en-US" w:eastAsia="zh-CN"/>
        </w:rPr>
        <w:t>生产</w:t>
      </w:r>
      <w:r>
        <w:rPr>
          <w:rFonts w:hint="eastAsia" w:eastAsia="仿宋_GB2312" w:cs="Times New Roman"/>
          <w:color w:val="auto"/>
          <w:sz w:val="32"/>
          <w:szCs w:val="32"/>
          <w:lang w:val="en-US" w:eastAsia="zh-CN"/>
        </w:rPr>
        <w:t>工艺</w:t>
      </w:r>
      <w:r>
        <w:rPr>
          <w:rFonts w:hint="eastAsia" w:ascii="Times New Roman" w:hAnsi="Times New Roman" w:eastAsia="仿宋_GB2312" w:cs="Times New Roman"/>
          <w:color w:val="auto"/>
          <w:sz w:val="32"/>
          <w:szCs w:val="32"/>
          <w:lang w:val="en-US" w:eastAsia="zh-CN"/>
        </w:rPr>
        <w:t>废水</w:t>
      </w:r>
      <w:r>
        <w:rPr>
          <w:rFonts w:hint="eastAsia" w:eastAsia="仿宋_GB2312" w:cs="Times New Roman"/>
          <w:color w:val="auto"/>
          <w:sz w:val="32"/>
          <w:szCs w:val="32"/>
          <w:lang w:val="en-US" w:eastAsia="zh-CN"/>
        </w:rPr>
        <w:t>、生活污水、初期雨水、化验废水排</w:t>
      </w:r>
      <w:r>
        <w:rPr>
          <w:rFonts w:hint="eastAsia" w:ascii="Times New Roman" w:hAnsi="Times New Roman" w:eastAsia="仿宋_GB2312" w:cs="Times New Roman"/>
          <w:color w:val="auto"/>
          <w:sz w:val="32"/>
          <w:szCs w:val="32"/>
          <w:lang w:val="en-US" w:eastAsia="zh-CN"/>
        </w:rPr>
        <w:t>入厂区污水处理</w:t>
      </w:r>
      <w:r>
        <w:rPr>
          <w:rFonts w:hint="eastAsia" w:eastAsia="仿宋_GB2312" w:cs="Times New Roman"/>
          <w:color w:val="auto"/>
          <w:sz w:val="32"/>
          <w:szCs w:val="32"/>
          <w:lang w:val="en-US" w:eastAsia="zh-CN"/>
        </w:rPr>
        <w:t>站</w:t>
      </w:r>
      <w:r>
        <w:rPr>
          <w:rFonts w:hint="eastAsia" w:ascii="Times New Roman" w:hAnsi="Times New Roman" w:eastAsia="仿宋_GB2312" w:cs="Times New Roman"/>
          <w:color w:val="auto"/>
          <w:sz w:val="32"/>
          <w:szCs w:val="32"/>
          <w:lang w:val="en-US" w:eastAsia="zh-CN"/>
        </w:rPr>
        <w:t>处理后与循环水排水、脱盐水排水、净水站排水一同进入回用水系统，回用后剩余废水浓度</w:t>
      </w:r>
      <w:r>
        <w:rPr>
          <w:rFonts w:hint="eastAsia" w:eastAsia="仿宋_GB2312" w:cs="Times New Roman"/>
          <w:color w:val="auto"/>
          <w:sz w:val="32"/>
          <w:szCs w:val="32"/>
          <w:lang w:val="en-US" w:eastAsia="zh-CN"/>
        </w:rPr>
        <w:t>同时符合</w:t>
      </w:r>
      <w:r>
        <w:rPr>
          <w:rFonts w:hint="eastAsia" w:ascii="Times New Roman" w:hAnsi="Times New Roman" w:eastAsia="仿宋_GB2312" w:cs="Times New Roman"/>
          <w:color w:val="auto"/>
          <w:sz w:val="32"/>
          <w:szCs w:val="32"/>
          <w:lang w:val="en-US" w:eastAsia="zh-CN"/>
        </w:rPr>
        <w:t>《石油化学工业污染物排放标准》（GB31571-2015，含2024年修改单）</w:t>
      </w:r>
      <w:r>
        <w:rPr>
          <w:rFonts w:hint="eastAsia" w:eastAsia="仿宋_GB2312" w:cs="Times New Roman"/>
          <w:color w:val="auto"/>
          <w:sz w:val="32"/>
          <w:szCs w:val="32"/>
          <w:lang w:val="en-US" w:eastAsia="zh-CN"/>
        </w:rPr>
        <w:t>限值要求</w:t>
      </w:r>
      <w:r>
        <w:rPr>
          <w:rFonts w:hint="eastAsia" w:ascii="Times New Roman" w:hAnsi="Times New Roman" w:eastAsia="仿宋_GB2312" w:cs="Times New Roman"/>
          <w:color w:val="auto"/>
          <w:sz w:val="32"/>
          <w:szCs w:val="32"/>
          <w:lang w:val="en-US" w:eastAsia="zh-CN"/>
        </w:rPr>
        <w:t>及鸡东经济开发区化工园区污水处理厂进水水质指标后排入园区管网，经鸡东经济开发区化工园区污水处理厂进一步处理后排入</w:t>
      </w:r>
      <w:r>
        <w:rPr>
          <w:rFonts w:hint="eastAsia" w:ascii="方正仿宋_GB2312" w:hAnsi="方正仿宋_GB2312" w:eastAsia="方正仿宋_GB2312" w:cs="方正仿宋_GB2312"/>
          <w:sz w:val="32"/>
          <w:szCs w:val="32"/>
          <w:lang w:val="en-US" w:eastAsia="zh-CN"/>
        </w:rPr>
        <w:t>穆棱河。</w:t>
      </w:r>
    </w:p>
    <w:p w14:paraId="5C27258C">
      <w:pPr>
        <w:keepNext w:val="0"/>
        <w:keepLines w:val="0"/>
        <w:pageBreakBefore w:val="0"/>
        <w:widowControl w:val="0"/>
        <w:kinsoku/>
        <w:wordWrap/>
        <w:overflowPunct/>
        <w:topLinePunct w:val="0"/>
        <w:autoSpaceDE/>
        <w:autoSpaceDN/>
        <w:adjustRightInd/>
        <w:snapToGrid/>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项目应严格落实地下水保护措施，采取分区</w:t>
      </w:r>
      <w:r>
        <w:rPr>
          <w:rFonts w:hint="eastAsia" w:ascii="Times New Roman" w:hAnsi="Times New Roman" w:eastAsia="仿宋_GB2312" w:cs="Times New Roman"/>
          <w:color w:val="auto"/>
          <w:sz w:val="32"/>
          <w:szCs w:val="32"/>
          <w:lang w:val="en-US" w:eastAsia="zh-CN"/>
        </w:rPr>
        <w:t>防渗，</w:t>
      </w:r>
      <w:r>
        <w:rPr>
          <w:rFonts w:hint="eastAsia" w:eastAsia="仿宋_GB2312" w:cs="Times New Roman"/>
          <w:color w:val="auto"/>
          <w:sz w:val="32"/>
          <w:szCs w:val="32"/>
          <w:lang w:val="en-US" w:eastAsia="zh-CN"/>
        </w:rPr>
        <w:t>危险废物贮存库</w:t>
      </w:r>
      <w:r>
        <w:rPr>
          <w:rFonts w:hint="eastAsia" w:ascii="Times New Roman" w:hAnsi="Times New Roman" w:eastAsia="仿宋_GB2312" w:cs="Times New Roman"/>
          <w:color w:val="auto"/>
          <w:sz w:val="32"/>
          <w:szCs w:val="32"/>
          <w:lang w:val="en-US" w:eastAsia="zh-CN"/>
        </w:rPr>
        <w:t>、化学品库、</w:t>
      </w:r>
      <w:r>
        <w:rPr>
          <w:rFonts w:hint="eastAsia" w:eastAsia="仿宋_GB2312" w:cs="Times New Roman"/>
          <w:color w:val="auto"/>
          <w:sz w:val="32"/>
          <w:szCs w:val="32"/>
          <w:lang w:val="en-US" w:eastAsia="zh-CN"/>
        </w:rPr>
        <w:t>脱盐水间、</w:t>
      </w:r>
      <w:r>
        <w:rPr>
          <w:rFonts w:hint="eastAsia" w:ascii="Times New Roman" w:hAnsi="Times New Roman" w:eastAsia="仿宋_GB2312" w:cs="Times New Roman"/>
          <w:color w:val="auto"/>
          <w:sz w:val="32"/>
          <w:szCs w:val="32"/>
          <w:lang w:val="en-US" w:eastAsia="zh-CN"/>
        </w:rPr>
        <w:t>甲醇中间罐区、浆料罐区、污水处理站、废水暂存池、污水回用池、甲醇罐及甲醇成品罐区、乙醇成品罐区</w:t>
      </w:r>
      <w:r>
        <w:rPr>
          <w:rFonts w:hint="eastAsia" w:eastAsia="仿宋_GB2312" w:cs="Times New Roman"/>
          <w:color w:val="auto"/>
          <w:sz w:val="32"/>
          <w:szCs w:val="32"/>
          <w:lang w:val="en-US" w:eastAsia="zh-CN"/>
        </w:rPr>
        <w:t>、</w:t>
      </w:r>
      <w:r>
        <w:rPr>
          <w:rFonts w:hint="eastAsia" w:eastAsia="仿宋_GB2312" w:cs="Times New Roman"/>
          <w:color w:val="auto"/>
          <w:sz w:val="32"/>
          <w:szCs w:val="32"/>
          <w:highlight w:val="none"/>
          <w:lang w:val="en-US" w:eastAsia="zh-CN"/>
        </w:rPr>
        <w:t>甲醇装置区</w:t>
      </w:r>
      <w:r>
        <w:rPr>
          <w:rFonts w:hint="eastAsia" w:ascii="Times New Roman" w:hAnsi="Times New Roman" w:eastAsia="仿宋_GB2312" w:cs="Times New Roman"/>
          <w:color w:val="auto"/>
          <w:sz w:val="32"/>
          <w:szCs w:val="32"/>
          <w:highlight w:val="none"/>
          <w:lang w:val="en-US" w:eastAsia="zh-CN"/>
        </w:rPr>
        <w:t>等属于重点防渗区，</w:t>
      </w:r>
      <w:r>
        <w:rPr>
          <w:rFonts w:hint="eastAsia" w:eastAsia="仿宋_GB2312" w:cs="Times New Roman"/>
          <w:color w:val="auto"/>
          <w:sz w:val="32"/>
          <w:szCs w:val="32"/>
          <w:lang w:val="en-US" w:eastAsia="zh-CN"/>
        </w:rPr>
        <w:t>防渗层的防渗性能不应低于6.0m厚渗透系数1×10</w:t>
      </w:r>
      <w:r>
        <w:rPr>
          <w:rFonts w:hint="eastAsia" w:eastAsia="仿宋_GB2312" w:cs="Times New Roman"/>
          <w:color w:val="auto"/>
          <w:sz w:val="32"/>
          <w:szCs w:val="32"/>
          <w:vertAlign w:val="superscript"/>
          <w:lang w:val="en-US" w:eastAsia="zh-CN"/>
        </w:rPr>
        <w:t>-7</w:t>
      </w:r>
      <w:r>
        <w:rPr>
          <w:rFonts w:hint="eastAsia" w:eastAsia="仿宋_GB2312" w:cs="Times New Roman"/>
          <w:color w:val="auto"/>
          <w:sz w:val="32"/>
          <w:szCs w:val="32"/>
          <w:lang w:val="en-US" w:eastAsia="zh-CN"/>
        </w:rPr>
        <w:t>cm/s的黏土层的防渗性能。</w:t>
      </w:r>
      <w:r>
        <w:rPr>
          <w:rFonts w:hint="eastAsia" w:ascii="Times New Roman" w:hAnsi="Times New Roman" w:eastAsia="仿宋_GB2312" w:cs="Times New Roman"/>
          <w:color w:val="auto"/>
          <w:sz w:val="32"/>
          <w:szCs w:val="32"/>
          <w:lang w:val="en-US" w:eastAsia="zh-CN"/>
        </w:rPr>
        <w:t>综合仓库、综合泵房、净水站、中心化验楼、净化装置区、气化装置区、预处理车间、蒸馏脱水车间、干燥车间、事故水池</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初期雨水收集池、汽车装卸栈台、原料堆场、循环水站等属于一般防渗区，防渗层的防渗性能不应低于1.5m厚渗透系数为1×10</w:t>
      </w:r>
      <w:r>
        <w:rPr>
          <w:rFonts w:hint="eastAsia" w:ascii="Times New Roman" w:hAnsi="Times New Roman" w:eastAsia="仿宋_GB2312" w:cs="Times New Roman"/>
          <w:color w:val="auto"/>
          <w:sz w:val="32"/>
          <w:szCs w:val="32"/>
          <w:vertAlign w:val="superscript"/>
          <w:lang w:val="en-US" w:eastAsia="zh-CN"/>
        </w:rPr>
        <w:t>-7</w:t>
      </w:r>
      <w:r>
        <w:rPr>
          <w:rFonts w:hint="eastAsia" w:ascii="Times New Roman" w:hAnsi="Times New Roman" w:eastAsia="仿宋_GB2312" w:cs="Times New Roman"/>
          <w:color w:val="auto"/>
          <w:sz w:val="32"/>
          <w:szCs w:val="32"/>
          <w:lang w:val="en-US" w:eastAsia="zh-CN"/>
        </w:rPr>
        <w:t>cm/s</w:t>
      </w:r>
      <w:r>
        <w:rPr>
          <w:rFonts w:hint="eastAsia" w:eastAsia="仿宋_GB2312" w:cs="Times New Roman"/>
          <w:color w:val="auto"/>
          <w:sz w:val="32"/>
          <w:szCs w:val="32"/>
          <w:lang w:val="en-US" w:eastAsia="zh-CN"/>
        </w:rPr>
        <w:t>的</w:t>
      </w:r>
      <w:r>
        <w:rPr>
          <w:rFonts w:hint="eastAsia" w:ascii="Times New Roman" w:hAnsi="Times New Roman" w:eastAsia="仿宋_GB2312" w:cs="Times New Roman"/>
          <w:color w:val="auto"/>
          <w:sz w:val="32"/>
          <w:szCs w:val="32"/>
          <w:lang w:val="en-US" w:eastAsia="zh-CN"/>
        </w:rPr>
        <w:t>黏土层的防渗性能。其他工业场地区域采取一般地面硬化措施。严格落实地下水监测计划</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设置地下水监测</w:t>
      </w:r>
      <w:r>
        <w:rPr>
          <w:rFonts w:hint="eastAsia" w:eastAsia="仿宋_GB2312" w:cs="Times New Roman"/>
          <w:color w:val="auto"/>
          <w:sz w:val="32"/>
          <w:szCs w:val="32"/>
          <w:lang w:val="en-US" w:eastAsia="zh-CN"/>
        </w:rPr>
        <w:t>井，发现</w:t>
      </w:r>
      <w:r>
        <w:rPr>
          <w:rFonts w:hint="eastAsia" w:ascii="Times New Roman" w:hAnsi="Times New Roman" w:eastAsia="仿宋_GB2312" w:cs="Times New Roman"/>
          <w:color w:val="auto"/>
          <w:sz w:val="32"/>
          <w:szCs w:val="32"/>
          <w:lang w:val="en-US" w:eastAsia="zh-CN"/>
        </w:rPr>
        <w:t>地下水污染</w:t>
      </w:r>
      <w:r>
        <w:rPr>
          <w:rFonts w:hint="eastAsia" w:eastAsia="仿宋_GB2312" w:cs="Times New Roman"/>
          <w:color w:val="auto"/>
          <w:sz w:val="32"/>
          <w:szCs w:val="32"/>
          <w:lang w:val="en-US" w:eastAsia="zh-CN"/>
        </w:rPr>
        <w:t>应</w:t>
      </w:r>
      <w:r>
        <w:rPr>
          <w:rFonts w:hint="eastAsia" w:ascii="Times New Roman" w:hAnsi="Times New Roman" w:eastAsia="仿宋_GB2312" w:cs="Times New Roman"/>
          <w:color w:val="auto"/>
          <w:sz w:val="32"/>
          <w:szCs w:val="32"/>
          <w:lang w:val="en-US" w:eastAsia="zh-CN"/>
        </w:rPr>
        <w:t>立即采取应急</w:t>
      </w:r>
      <w:r>
        <w:rPr>
          <w:rFonts w:hint="eastAsia" w:eastAsia="仿宋_GB2312" w:cs="Times New Roman"/>
          <w:color w:val="auto"/>
          <w:sz w:val="32"/>
          <w:szCs w:val="32"/>
          <w:lang w:val="en-US" w:eastAsia="zh-CN"/>
        </w:rPr>
        <w:t>防护</w:t>
      </w:r>
      <w:r>
        <w:rPr>
          <w:rFonts w:hint="eastAsia" w:ascii="Times New Roman" w:hAnsi="Times New Roman" w:eastAsia="仿宋_GB2312" w:cs="Times New Roman"/>
          <w:color w:val="auto"/>
          <w:sz w:val="32"/>
          <w:szCs w:val="32"/>
          <w:lang w:val="en-US" w:eastAsia="zh-CN"/>
        </w:rPr>
        <w:t>措施，减少对地下水</w:t>
      </w:r>
      <w:r>
        <w:rPr>
          <w:rFonts w:hint="eastAsia" w:eastAsia="仿宋_GB2312" w:cs="Times New Roman"/>
          <w:color w:val="auto"/>
          <w:sz w:val="32"/>
          <w:szCs w:val="32"/>
          <w:lang w:val="en-US" w:eastAsia="zh-CN"/>
        </w:rPr>
        <w:t>环境的</w:t>
      </w:r>
      <w:r>
        <w:rPr>
          <w:rFonts w:hint="eastAsia" w:ascii="Times New Roman" w:hAnsi="Times New Roman" w:eastAsia="仿宋_GB2312" w:cs="Times New Roman"/>
          <w:color w:val="auto"/>
          <w:sz w:val="32"/>
          <w:szCs w:val="32"/>
          <w:lang w:val="en-US" w:eastAsia="zh-CN"/>
        </w:rPr>
        <w:t>不利影响。</w:t>
      </w:r>
    </w:p>
    <w:p w14:paraId="5DCB999E">
      <w:pPr>
        <w:keepNext w:val="0"/>
        <w:keepLines w:val="0"/>
        <w:pageBreakBefore w:val="0"/>
        <w:widowControl w:val="0"/>
        <w:kinsoku/>
        <w:wordWrap/>
        <w:overflowPunct/>
        <w:topLinePunct w:val="0"/>
        <w:autoSpaceDE/>
        <w:autoSpaceDN/>
        <w:adjustRightInd/>
        <w:snapToGrid/>
        <w:spacing w:line="560" w:lineRule="exact"/>
        <w:ind w:firstLine="640" w:firstLineChars="200"/>
        <w:rPr>
          <w:rFonts w:hint="eastAsia" w:ascii="Times New Roman" w:hAnsi="Times New Roman" w:eastAsia="仿宋_GB2312" w:cs="Times New Roman"/>
          <w:color w:val="auto"/>
          <w:kern w:val="0"/>
          <w:sz w:val="32"/>
          <w:szCs w:val="32"/>
          <w:lang w:val="en-US" w:eastAsia="zh-CN" w:bidi="ar-SA"/>
        </w:rPr>
      </w:pPr>
      <w:r>
        <w:rPr>
          <w:rFonts w:hint="eastAsia" w:ascii="方正楷体_GBK" w:hAnsi="方正楷体_GBK" w:eastAsia="方正楷体_GBK" w:cs="方正楷体_GBK"/>
          <w:color w:val="auto"/>
          <w:kern w:val="0"/>
          <w:sz w:val="32"/>
          <w:szCs w:val="32"/>
          <w:lang w:val="en-US" w:eastAsia="zh-CN"/>
        </w:rPr>
        <w:t>（四）声环境影响及保护措施。</w:t>
      </w:r>
      <w:r>
        <w:rPr>
          <w:rFonts w:hint="eastAsia" w:ascii="方正仿宋_GB2312" w:hAnsi="方正仿宋_GB2312" w:eastAsia="方正仿宋_GB2312" w:cs="方正仿宋_GB2312"/>
          <w:color w:val="auto"/>
          <w:kern w:val="0"/>
          <w:sz w:val="32"/>
          <w:szCs w:val="32"/>
          <w:lang w:val="en-US" w:eastAsia="zh-CN"/>
        </w:rPr>
        <w:t>项目</w:t>
      </w:r>
      <w:r>
        <w:rPr>
          <w:rFonts w:hint="eastAsia" w:ascii="Times New Roman" w:hAnsi="Times New Roman" w:eastAsia="仿宋_GB2312" w:cs="Times New Roman"/>
          <w:color w:val="auto"/>
          <w:sz w:val="32"/>
          <w:szCs w:val="32"/>
          <w:lang w:val="en-US" w:eastAsia="zh-CN"/>
        </w:rPr>
        <w:t>选用低噪声设备，采取隔声、消声、减振、绿化等措施，确保厂界噪声满足《工业企业厂界环境噪声排放标准》 (GB12348</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2008)</w:t>
      </w:r>
      <w:r>
        <w:rPr>
          <w:rFonts w:hint="eastAsia"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3类标准限值。</w:t>
      </w:r>
    </w:p>
    <w:p w14:paraId="3DF935BD">
      <w:pPr>
        <w:keepNext w:val="0"/>
        <w:keepLines w:val="0"/>
        <w:pageBreakBefore w:val="0"/>
        <w:widowControl w:val="0"/>
        <w:numPr>
          <w:ilvl w:val="0"/>
          <w:numId w:val="0"/>
        </w:numPr>
        <w:kinsoku/>
        <w:wordWrap/>
        <w:overflowPunct/>
        <w:topLinePunct w:val="0"/>
        <w:autoSpaceDE/>
        <w:autoSpaceDN/>
        <w:adjustRightInd/>
        <w:snapToGrid/>
        <w:spacing w:line="560" w:lineRule="exact"/>
        <w:ind w:left="0" w:leftChars="0"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方正楷体_GBK" w:cs="方正楷体_GBK"/>
          <w:color w:val="auto"/>
          <w:kern w:val="2"/>
          <w:sz w:val="32"/>
          <w:szCs w:val="32"/>
          <w:lang w:val="en-US" w:eastAsia="zh-CN" w:bidi="ar-SA"/>
        </w:rPr>
        <w:t>（</w:t>
      </w:r>
      <w:r>
        <w:rPr>
          <w:rFonts w:hint="eastAsia" w:eastAsia="方正楷体_GBK" w:cs="方正楷体_GBK"/>
          <w:color w:val="auto"/>
          <w:kern w:val="2"/>
          <w:sz w:val="32"/>
          <w:szCs w:val="32"/>
          <w:lang w:val="en-US" w:eastAsia="zh-CN" w:bidi="ar-SA"/>
        </w:rPr>
        <w:t>五</w:t>
      </w:r>
      <w:r>
        <w:rPr>
          <w:rFonts w:hint="eastAsia" w:ascii="Times New Roman" w:hAnsi="Times New Roman" w:eastAsia="方正楷体_GBK" w:cs="方正楷体_GBK"/>
          <w:color w:val="auto"/>
          <w:kern w:val="2"/>
          <w:sz w:val="32"/>
          <w:szCs w:val="32"/>
          <w:lang w:val="en-US" w:eastAsia="zh-CN" w:bidi="ar-SA"/>
        </w:rPr>
        <w:t>）</w:t>
      </w:r>
      <w:r>
        <w:rPr>
          <w:rFonts w:hint="eastAsia" w:eastAsia="方正楷体_GBK" w:cs="方正楷体_GBK"/>
          <w:color w:val="auto"/>
          <w:kern w:val="0"/>
          <w:sz w:val="32"/>
          <w:szCs w:val="32"/>
          <w:lang w:val="en-US" w:eastAsia="zh-CN"/>
        </w:rPr>
        <w:t>固体废物环境影响及保护措施</w:t>
      </w:r>
      <w:r>
        <w:rPr>
          <w:rFonts w:hint="eastAsia" w:eastAsia="方正楷体_GBK" w:cs="方正楷体_GBK"/>
          <w:color w:val="auto"/>
          <w:sz w:val="32"/>
          <w:szCs w:val="32"/>
        </w:rPr>
        <w:t>。</w:t>
      </w:r>
      <w:r>
        <w:rPr>
          <w:rFonts w:hint="eastAsia" w:ascii="Times New Roman" w:hAnsi="Times New Roman" w:eastAsia="仿宋_GB2312" w:cs="Times New Roman"/>
          <w:color w:val="auto"/>
          <w:sz w:val="32"/>
          <w:szCs w:val="32"/>
          <w:lang w:val="en-US" w:eastAsia="zh-CN"/>
        </w:rPr>
        <w:t>废催化剂、</w:t>
      </w:r>
      <w:r>
        <w:rPr>
          <w:rFonts w:hint="default" w:ascii="Times New Roman" w:hAnsi="Times New Roman" w:eastAsia="仿宋_GB2312" w:cs="Times New Roman"/>
          <w:color w:val="auto"/>
          <w:sz w:val="32"/>
          <w:szCs w:val="32"/>
          <w:lang w:val="en-US" w:eastAsia="zh-CN"/>
        </w:rPr>
        <w:t>废机油</w:t>
      </w:r>
      <w:r>
        <w:rPr>
          <w:rFonts w:hint="eastAsia" w:eastAsia="仿宋_GB2312" w:cs="Times New Roman"/>
          <w:color w:val="auto"/>
          <w:sz w:val="32"/>
          <w:szCs w:val="32"/>
          <w:lang w:val="en-US" w:eastAsia="zh-CN"/>
        </w:rPr>
        <w:t>、废润滑油</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化验室废液、</w:t>
      </w:r>
      <w:r>
        <w:rPr>
          <w:rFonts w:hint="eastAsia" w:ascii="Times New Roman" w:hAnsi="Times New Roman" w:eastAsia="仿宋_GB2312" w:cs="Times New Roman"/>
          <w:color w:val="auto"/>
          <w:sz w:val="32"/>
          <w:szCs w:val="32"/>
          <w:lang w:val="en-US" w:eastAsia="zh-CN"/>
        </w:rPr>
        <w:t>废活性炭</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废瓷球、废脱毒剂</w:t>
      </w:r>
      <w:r>
        <w:rPr>
          <w:rFonts w:hint="eastAsia" w:eastAsia="仿宋_GB2312" w:cs="Times New Roman"/>
          <w:color w:val="auto"/>
          <w:sz w:val="32"/>
          <w:szCs w:val="32"/>
          <w:lang w:val="en-US" w:eastAsia="zh-CN"/>
        </w:rPr>
        <w:t>、废脱硫剂</w:t>
      </w:r>
      <w:r>
        <w:rPr>
          <w:rFonts w:hint="eastAsia" w:ascii="Times New Roman" w:hAnsi="Times New Roman" w:eastAsia="仿宋_GB2312" w:cs="Times New Roman"/>
          <w:color w:val="auto"/>
          <w:sz w:val="32"/>
          <w:szCs w:val="32"/>
          <w:lang w:val="en-US" w:eastAsia="zh-CN"/>
        </w:rPr>
        <w:t>等</w:t>
      </w:r>
      <w:r>
        <w:rPr>
          <w:rFonts w:hint="eastAsia" w:eastAsia="仿宋_GB2312" w:cs="Times New Roman"/>
          <w:color w:val="auto"/>
          <w:sz w:val="32"/>
          <w:szCs w:val="32"/>
          <w:lang w:val="en-US" w:eastAsia="zh-CN"/>
        </w:rPr>
        <w:t>危险废物分别收集后暂存于</w:t>
      </w:r>
      <w:r>
        <w:rPr>
          <w:rFonts w:hint="eastAsia" w:ascii="Times New Roman" w:hAnsi="Times New Roman" w:eastAsia="仿宋_GB2312" w:cs="Times New Roman"/>
          <w:color w:val="auto"/>
          <w:sz w:val="32"/>
          <w:szCs w:val="32"/>
          <w:lang w:val="en-US" w:eastAsia="zh-CN"/>
        </w:rPr>
        <w:t>危废贮存库，定期</w:t>
      </w:r>
      <w:r>
        <w:rPr>
          <w:rFonts w:hint="eastAsia" w:eastAsia="仿宋_GB2312" w:cs="Times New Roman"/>
          <w:color w:val="auto"/>
          <w:sz w:val="32"/>
          <w:szCs w:val="32"/>
          <w:lang w:val="en-US" w:eastAsia="zh-CN"/>
        </w:rPr>
        <w:t>委托有</w:t>
      </w:r>
      <w:r>
        <w:rPr>
          <w:rFonts w:hint="eastAsia" w:ascii="Times New Roman" w:hAnsi="Times New Roman" w:eastAsia="仿宋_GB2312" w:cs="Times New Roman"/>
          <w:color w:val="auto"/>
          <w:sz w:val="32"/>
          <w:szCs w:val="32"/>
          <w:lang w:val="en-US" w:eastAsia="zh-CN"/>
        </w:rPr>
        <w:t>资质单位进行处置，污水处理站生化污泥</w:t>
      </w:r>
      <w:r>
        <w:rPr>
          <w:rFonts w:hint="eastAsia" w:eastAsia="仿宋_GB2312" w:cs="Times New Roman"/>
          <w:color w:val="auto"/>
          <w:sz w:val="32"/>
          <w:szCs w:val="32"/>
          <w:lang w:val="en-US" w:eastAsia="zh-CN"/>
        </w:rPr>
        <w:t>鉴定前应按危险废物进行管理，定期交由有资质单位处置，若鉴定后不属于危险废物，定期外委综合利用。</w:t>
      </w:r>
      <w:r>
        <w:rPr>
          <w:rFonts w:hint="eastAsia" w:ascii="Times New Roman" w:hAnsi="Times New Roman" w:eastAsia="仿宋_GB2312" w:cs="Times New Roman"/>
          <w:color w:val="auto"/>
          <w:sz w:val="32"/>
          <w:szCs w:val="32"/>
          <w:lang w:val="en-US" w:eastAsia="zh-CN"/>
        </w:rPr>
        <w:t>项目秸秆清理系统分离杂质、拆包粉碎工段产生的粉尘与生活垃圾</w:t>
      </w:r>
      <w:r>
        <w:rPr>
          <w:rFonts w:hint="eastAsia" w:eastAsia="仿宋_GB2312" w:cs="Times New Roman"/>
          <w:color w:val="auto"/>
          <w:sz w:val="32"/>
          <w:szCs w:val="32"/>
          <w:lang w:val="en-US" w:eastAsia="zh-CN"/>
        </w:rPr>
        <w:t>分别收集后交由环卫部门处置，</w:t>
      </w:r>
      <w:r>
        <w:rPr>
          <w:rFonts w:hint="eastAsia" w:ascii="Times New Roman" w:hAnsi="Times New Roman" w:eastAsia="仿宋_GB2312" w:cs="Times New Roman"/>
          <w:color w:val="auto"/>
          <w:sz w:val="32"/>
          <w:szCs w:val="32"/>
          <w:lang w:val="en-US" w:eastAsia="zh-CN"/>
        </w:rPr>
        <w:t>废分子筛定期更换后由厂家回收</w:t>
      </w:r>
      <w:r>
        <w:rPr>
          <w:rFonts w:hint="eastAsia" w:eastAsia="仿宋_GB2312" w:cs="Times New Roman"/>
          <w:color w:val="auto"/>
          <w:sz w:val="32"/>
          <w:szCs w:val="32"/>
          <w:lang w:val="en-US" w:eastAsia="zh-CN"/>
        </w:rPr>
        <w:t>处置，废布袋更换后由厂家回收处置，</w:t>
      </w:r>
      <w:r>
        <w:rPr>
          <w:rFonts w:hint="eastAsia" w:ascii="Times New Roman" w:hAnsi="Times New Roman" w:eastAsia="仿宋_GB2312" w:cs="Times New Roman"/>
          <w:color w:val="auto"/>
          <w:sz w:val="32"/>
          <w:szCs w:val="32"/>
          <w:lang w:val="en-US" w:eastAsia="zh-CN"/>
        </w:rPr>
        <w:t>空分装置废吸附剂更换后由厂家回收</w:t>
      </w:r>
      <w:r>
        <w:rPr>
          <w:rFonts w:hint="eastAsia" w:eastAsia="仿宋_GB2312" w:cs="Times New Roman"/>
          <w:color w:val="auto"/>
          <w:sz w:val="32"/>
          <w:szCs w:val="32"/>
          <w:lang w:val="en-US" w:eastAsia="zh-CN"/>
        </w:rPr>
        <w:t>处置，</w:t>
      </w:r>
      <w:r>
        <w:rPr>
          <w:rFonts w:hint="eastAsia" w:ascii="Times New Roman" w:hAnsi="Times New Roman" w:eastAsia="仿宋_GB2312" w:cs="Times New Roman"/>
          <w:color w:val="auto"/>
          <w:sz w:val="32"/>
          <w:szCs w:val="32"/>
          <w:lang w:val="en-US" w:eastAsia="zh-CN"/>
        </w:rPr>
        <w:t>生物质气化装置粗渣及细渣外售</w:t>
      </w:r>
      <w:r>
        <w:rPr>
          <w:rFonts w:hint="eastAsia" w:eastAsia="仿宋_GB2312" w:cs="Times New Roman"/>
          <w:color w:val="auto"/>
          <w:sz w:val="32"/>
          <w:szCs w:val="32"/>
          <w:lang w:val="en-US" w:eastAsia="zh-CN"/>
        </w:rPr>
        <w:t>综合利用。</w:t>
      </w:r>
    </w:p>
    <w:p w14:paraId="4AEB2CF9">
      <w:pPr>
        <w:keepNext w:val="0"/>
        <w:keepLines w:val="0"/>
        <w:pageBreakBefore w:val="0"/>
        <w:widowControl w:val="0"/>
        <w:kinsoku/>
        <w:wordWrap/>
        <w:overflowPunct/>
        <w:topLinePunct w:val="0"/>
        <w:autoSpaceDE/>
        <w:autoSpaceDN/>
        <w:adjustRightInd/>
        <w:snapToGrid/>
        <w:spacing w:line="560" w:lineRule="exact"/>
        <w:ind w:firstLine="640" w:firstLineChars="200"/>
        <w:rPr>
          <w:rFonts w:hint="eastAsia"/>
          <w:highlight w:val="none"/>
          <w:lang w:val="en-US" w:eastAsia="zh-CN"/>
        </w:rPr>
      </w:pPr>
      <w:r>
        <w:rPr>
          <w:rFonts w:hint="eastAsia" w:ascii="方正楷体_GBK" w:hAnsi="方正楷体_GBK" w:eastAsia="方正楷体_GBK" w:cs="方正楷体_GBK"/>
          <w:color w:val="auto"/>
          <w:sz w:val="32"/>
          <w:szCs w:val="32"/>
          <w:highlight w:val="none"/>
          <w:lang w:eastAsia="zh-CN"/>
        </w:rPr>
        <w:t>（六）土壤</w:t>
      </w:r>
      <w:r>
        <w:rPr>
          <w:rFonts w:ascii="方正楷体_GBK" w:hAnsi="方正楷体_GBK" w:eastAsia="方正楷体_GBK" w:cs="方正楷体_GBK"/>
          <w:color w:val="auto"/>
          <w:sz w:val="32"/>
          <w:szCs w:val="32"/>
          <w:highlight w:val="none"/>
          <w:lang w:eastAsia="zh-CN"/>
        </w:rPr>
        <w:t>环境</w:t>
      </w:r>
      <w:r>
        <w:rPr>
          <w:rFonts w:hint="eastAsia" w:ascii="方正楷体_GBK" w:hAnsi="方正楷体_GBK" w:eastAsia="方正楷体_GBK" w:cs="方正楷体_GBK"/>
          <w:color w:val="auto"/>
          <w:sz w:val="32"/>
          <w:szCs w:val="32"/>
          <w:highlight w:val="none"/>
          <w:lang w:eastAsia="zh-CN"/>
        </w:rPr>
        <w:t>影响</w:t>
      </w:r>
      <w:r>
        <w:rPr>
          <w:rFonts w:hint="eastAsia" w:ascii="方正楷体_GBK" w:hAnsi="方正楷体_GBK" w:eastAsia="方正楷体_GBK" w:cs="方正楷体_GBK"/>
          <w:color w:val="auto"/>
          <w:sz w:val="32"/>
          <w:szCs w:val="32"/>
          <w:highlight w:val="none"/>
          <w:lang w:val="en-US" w:eastAsia="zh-CN"/>
        </w:rPr>
        <w:t>及保护措施</w:t>
      </w:r>
      <w:r>
        <w:rPr>
          <w:rFonts w:hint="eastAsia" w:ascii="方正楷体_GBK" w:hAnsi="方正楷体_GBK" w:eastAsia="方正楷体_GBK" w:cs="方正楷体_GBK"/>
          <w:color w:val="auto"/>
          <w:sz w:val="32"/>
          <w:szCs w:val="32"/>
          <w:highlight w:val="none"/>
          <w:lang w:eastAsia="zh-CN"/>
        </w:rPr>
        <w:t>。</w:t>
      </w:r>
      <w:r>
        <w:rPr>
          <w:rFonts w:hint="eastAsia" w:eastAsia="仿宋_GB2312" w:cs="Times New Roman"/>
          <w:color w:val="auto"/>
          <w:sz w:val="32"/>
          <w:szCs w:val="32"/>
          <w:highlight w:val="none"/>
          <w:lang w:val="en-US" w:eastAsia="zh-CN"/>
        </w:rPr>
        <w:t>项目应严格落实《报告书》中提出的土壤保护措施，加强源头控制，定期对装置及设备进行检修和维护，加强管理及巡检，污染物泄漏时做到及时发现、及时处置，制定土壤跟踪监测计划，</w:t>
      </w:r>
      <w:r>
        <w:rPr>
          <w:rFonts w:hint="eastAsia" w:ascii="Times New Roman" w:hAnsi="Times New Roman" w:eastAsia="仿宋_GB2312" w:cs="Times New Roman"/>
          <w:color w:val="auto"/>
          <w:sz w:val="32"/>
          <w:szCs w:val="32"/>
          <w:highlight w:val="none"/>
          <w:lang w:val="en-US" w:eastAsia="zh-CN"/>
        </w:rPr>
        <w:t>减少对</w:t>
      </w:r>
      <w:r>
        <w:rPr>
          <w:rFonts w:hint="eastAsia" w:eastAsia="仿宋_GB2312" w:cs="Times New Roman"/>
          <w:color w:val="auto"/>
          <w:sz w:val="32"/>
          <w:szCs w:val="32"/>
          <w:highlight w:val="none"/>
          <w:lang w:val="en-US" w:eastAsia="zh-CN"/>
        </w:rPr>
        <w:t>土壤环境</w:t>
      </w:r>
      <w:r>
        <w:rPr>
          <w:rFonts w:hint="eastAsia" w:ascii="Times New Roman" w:hAnsi="Times New Roman" w:eastAsia="仿宋_GB2312" w:cs="Times New Roman"/>
          <w:color w:val="auto"/>
          <w:sz w:val="32"/>
          <w:szCs w:val="32"/>
          <w:highlight w:val="none"/>
          <w:lang w:val="en-US" w:eastAsia="zh-CN"/>
        </w:rPr>
        <w:t>的不利影响。</w:t>
      </w:r>
    </w:p>
    <w:p w14:paraId="4F8D9E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方正楷体_GBK" w:hAnsi="方正楷体_GBK" w:eastAsia="方正楷体_GBK" w:cs="方正楷体_GBK"/>
          <w:sz w:val="32"/>
          <w:szCs w:val="32"/>
          <w:lang w:eastAsia="zh-CN"/>
        </w:rPr>
        <w:t>（七）</w:t>
      </w:r>
      <w:r>
        <w:rPr>
          <w:rFonts w:hint="eastAsia" w:ascii="方正楷体_GBK" w:hAnsi="方正楷体_GBK" w:eastAsia="方正楷体_GBK" w:cs="方正楷体_GBK"/>
          <w:sz w:val="32"/>
          <w:szCs w:val="32"/>
        </w:rPr>
        <w:t>环境风险及保护措施。</w:t>
      </w:r>
      <w:r>
        <w:rPr>
          <w:rFonts w:hint="default" w:ascii="Times New Roman" w:hAnsi="Times New Roman" w:eastAsia="仿宋_GB2312" w:cs="Times New Roman"/>
          <w:color w:val="auto"/>
          <w:kern w:val="0"/>
          <w:sz w:val="32"/>
          <w:szCs w:val="32"/>
          <w:lang w:val="en-US" w:eastAsia="zh-CN" w:bidi="ar-SA"/>
        </w:rPr>
        <w:t>项目应严格落实《报告</w:t>
      </w:r>
      <w:r>
        <w:rPr>
          <w:rFonts w:hint="eastAsia" w:eastAsia="仿宋_GB2312" w:cs="Times New Roman"/>
          <w:color w:val="auto"/>
          <w:kern w:val="0"/>
          <w:sz w:val="32"/>
          <w:szCs w:val="32"/>
          <w:lang w:val="en-US" w:eastAsia="zh-CN" w:bidi="ar-SA"/>
        </w:rPr>
        <w:t>书</w:t>
      </w:r>
      <w:r>
        <w:rPr>
          <w:rFonts w:hint="default" w:ascii="Times New Roman" w:hAnsi="Times New Roman" w:eastAsia="仿宋_GB2312" w:cs="Times New Roman"/>
          <w:color w:val="auto"/>
          <w:kern w:val="0"/>
          <w:sz w:val="32"/>
          <w:szCs w:val="32"/>
          <w:lang w:val="en-US" w:eastAsia="zh-CN" w:bidi="ar-SA"/>
        </w:rPr>
        <w:t>》中提出的风险防范措施，编制环境风险应急预案，加强风险点位预警、预防，防止风险事故发生。</w:t>
      </w:r>
    </w:p>
    <w:p w14:paraId="455EAD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你单位应建立企业内部生态环境管理机构和制度，明确人员和职责，加强生态环境管理。项目实施必须严格执行环境保护设施与主体工程同时设计、同时施工、同时投产使用的环境保护“三同时”制度。</w:t>
      </w:r>
      <w:r>
        <w:rPr>
          <w:rFonts w:ascii="仿宋_GB2312" w:hAnsi="仿宋_GB2312" w:eastAsia="仿宋_GB2312" w:cs="仿宋_GB2312"/>
          <w:color w:val="auto"/>
          <w:sz w:val="32"/>
          <w:szCs w:val="32"/>
        </w:rPr>
        <w:t>在启动生产设施或者在实际排污之前，建设单位应依法履行排污许可手续。</w:t>
      </w:r>
      <w:r>
        <w:rPr>
          <w:rFonts w:hint="eastAsia" w:ascii="仿宋_GB2312" w:hAnsi="仿宋_GB2312" w:eastAsia="仿宋_GB2312" w:cs="仿宋_GB2312"/>
          <w:color w:val="auto"/>
          <w:sz w:val="32"/>
          <w:szCs w:val="32"/>
        </w:rPr>
        <w:t>项目建成后，应按规定程序实施竣工环境保护验收</w:t>
      </w:r>
      <w:r>
        <w:rPr>
          <w:rFonts w:ascii="仿宋_GB2312" w:hAnsi="仿宋_GB2312" w:eastAsia="仿宋_GB2312" w:cs="仿宋_GB2312"/>
          <w:color w:val="auto"/>
          <w:sz w:val="32"/>
          <w:szCs w:val="32"/>
          <w:lang w:eastAsia="zh-CN"/>
        </w:rPr>
        <w:t>。</w:t>
      </w:r>
    </w:p>
    <w:p w14:paraId="6F6AD8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lang w:eastAsia="zh-CN"/>
        </w:rPr>
      </w:pPr>
      <w:r>
        <w:rPr>
          <w:rFonts w:hint="eastAsia" w:eastAsia="仿宋_GB2312" w:cs="Times New Roman"/>
          <w:kern w:val="0"/>
          <w:sz w:val="32"/>
          <w:szCs w:val="32"/>
          <w:lang w:eastAsia="zh-CN"/>
        </w:rPr>
        <w:t>四</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sz w:val="32"/>
          <w:szCs w:val="32"/>
        </w:rPr>
        <w:t>报告书》经批准后，项目的性质、规模、地点或者污染</w:t>
      </w:r>
      <w:r>
        <w:rPr>
          <w:rFonts w:hint="eastAsia" w:eastAsia="仿宋_GB2312" w:cs="Times New Roman"/>
          <w:sz w:val="32"/>
          <w:szCs w:val="32"/>
          <w:lang w:eastAsia="zh-CN"/>
        </w:rPr>
        <w:t>防治</w:t>
      </w:r>
      <w:r>
        <w:rPr>
          <w:rFonts w:ascii="Times New Roman" w:hAnsi="Times New Roman" w:eastAsia="仿宋_GB2312" w:cs="Times New Roman"/>
          <w:sz w:val="32"/>
          <w:szCs w:val="32"/>
        </w:rPr>
        <w:t>措施发生重大变动的，应当重新报批该项目的《报告书》。自《报告书》批复文件批准之日起，如超过5年方决定开工建设的，《报告书》应当重新审核。</w:t>
      </w:r>
    </w:p>
    <w:p w14:paraId="4DF6F1C4">
      <w:pPr>
        <w:keepNext w:val="0"/>
        <w:keepLines w:val="0"/>
        <w:pageBreakBefore w:val="0"/>
        <w:kinsoku/>
        <w:wordWrap/>
        <w:overflowPunct/>
        <w:topLinePunct w:val="0"/>
        <w:autoSpaceDE/>
        <w:autoSpaceDN/>
        <w:adjustRightInd/>
        <w:snapToGrid/>
        <w:spacing w:line="560" w:lineRule="exact"/>
        <w:ind w:firstLine="640" w:firstLineChars="200"/>
        <w:rPr>
          <w:rFonts w:eastAsia="仿宋_GB2312"/>
          <w:sz w:val="32"/>
          <w:szCs w:val="32"/>
        </w:rPr>
      </w:pPr>
      <w:r>
        <w:rPr>
          <w:rFonts w:hint="eastAsia" w:eastAsia="仿宋_GB2312" w:cs="Times New Roman"/>
          <w:color w:val="auto"/>
          <w:sz w:val="32"/>
          <w:szCs w:val="32"/>
          <w:lang w:eastAsia="zh-CN"/>
        </w:rPr>
        <w:t>五</w:t>
      </w:r>
      <w:r>
        <w:rPr>
          <w:rFonts w:ascii="Times New Roman" w:hAnsi="Times New Roman" w:eastAsia="仿宋_GB2312" w:cs="Times New Roman"/>
          <w:color w:val="auto"/>
          <w:sz w:val="32"/>
          <w:szCs w:val="32"/>
          <w:lang w:eastAsia="zh-CN"/>
        </w:rPr>
        <w:t>、鸡西市</w:t>
      </w:r>
      <w:r>
        <w:rPr>
          <w:rFonts w:ascii="Times New Roman" w:hAnsi="Times New Roman" w:eastAsia="仿宋_GB2312" w:cs="Times New Roman"/>
          <w:color w:val="auto"/>
          <w:sz w:val="32"/>
          <w:szCs w:val="32"/>
          <w:lang w:val="en-US" w:eastAsia="zh-CN"/>
        </w:rPr>
        <w:t>鸡东</w:t>
      </w:r>
      <w:r>
        <w:rPr>
          <w:rFonts w:ascii="Times New Roman" w:hAnsi="Times New Roman" w:eastAsia="仿宋_GB2312" w:cs="Times New Roman"/>
          <w:color w:val="auto"/>
          <w:sz w:val="32"/>
          <w:szCs w:val="32"/>
          <w:lang w:eastAsia="zh-CN"/>
        </w:rPr>
        <w:t>生态环境局组织开展该项目环境保护事中事后监管工作。你单位应在收到本批复后10日内，将批准后的</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报告</w:t>
      </w:r>
      <w:r>
        <w:rPr>
          <w:rFonts w:eastAsia="仿宋_GB2312" w:cs="Times New Roman"/>
          <w:color w:val="auto"/>
          <w:sz w:val="32"/>
          <w:szCs w:val="32"/>
          <w:lang w:val="en-US" w:eastAsia="zh-CN"/>
        </w:rPr>
        <w:t>书</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lang w:eastAsia="zh-CN"/>
        </w:rPr>
        <w:t>和批复文件送至鸡西市</w:t>
      </w:r>
      <w:r>
        <w:rPr>
          <w:rFonts w:ascii="Times New Roman" w:hAnsi="Times New Roman" w:eastAsia="仿宋_GB2312" w:cs="Times New Roman"/>
          <w:color w:val="auto"/>
          <w:sz w:val="32"/>
          <w:szCs w:val="32"/>
          <w:lang w:val="en-US" w:eastAsia="zh-CN"/>
        </w:rPr>
        <w:t>鸡东</w:t>
      </w:r>
      <w:r>
        <w:rPr>
          <w:rFonts w:ascii="Times New Roman" w:hAnsi="Times New Roman" w:eastAsia="仿宋_GB2312" w:cs="Times New Roman"/>
          <w:color w:val="auto"/>
          <w:sz w:val="32"/>
          <w:szCs w:val="32"/>
          <w:lang w:eastAsia="zh-CN"/>
        </w:rPr>
        <w:t>生态环境局，并按规定接受各级生态环境主管部门的日常监督检查</w:t>
      </w:r>
      <w:r>
        <w:rPr>
          <w:rFonts w:hint="eastAsia" w:eastAsia="仿宋_GB2312" w:cs="Times New Roman"/>
          <w:color w:val="auto"/>
          <w:sz w:val="32"/>
          <w:szCs w:val="32"/>
          <w:lang w:eastAsia="zh-CN"/>
        </w:rPr>
        <w:t>。</w:t>
      </w:r>
      <w:r>
        <w:rPr>
          <w:rFonts w:ascii="Times New Roman" w:hAnsi="Times New Roman" w:eastAsia="仿宋_GB2312" w:cs="Times New Roman"/>
          <w:color w:val="2F5597"/>
          <w:sz w:val="32"/>
          <w:szCs w:val="32"/>
        </w:rPr>
        <w:t xml:space="preserve">                    </w:t>
      </w:r>
      <w:r>
        <w:rPr>
          <w:rFonts w:ascii="Times New Roman" w:hAnsi="Times New Roman" w:eastAsia="仿宋_GB2312" w:cs="Times New Roman"/>
          <w:sz w:val="32"/>
          <w:szCs w:val="32"/>
        </w:rPr>
        <w:t xml:space="preserve">        </w:t>
      </w:r>
    </w:p>
    <w:p w14:paraId="0509F32E">
      <w:pPr>
        <w:pStyle w:val="12"/>
        <w:keepNext w:val="0"/>
        <w:keepLines w:val="0"/>
        <w:pageBreakBefore w:val="0"/>
        <w:widowControl/>
        <w:suppressLineNumbers w:val="0"/>
        <w:suppressAutoHyphens w:val="0"/>
        <w:bidi w:val="0"/>
        <w:spacing w:line="276" w:lineRule="auto"/>
        <w:ind w:left="0" w:firstLine="0"/>
      </w:pPr>
    </w:p>
    <w:p w14:paraId="0FA4BB1B">
      <w:pPr>
        <w:keepNext w:val="0"/>
        <w:keepLines w:val="0"/>
        <w:pageBreakBefore w:val="0"/>
        <w:kinsoku/>
        <w:wordWrap/>
        <w:overflowPunct/>
        <w:topLinePunct w:val="0"/>
        <w:autoSpaceDE/>
        <w:autoSpaceDN/>
        <w:bidi w:val="0"/>
        <w:spacing w:beforeAutospacing="0" w:afterAutospacing="0" w:line="560" w:lineRule="exact"/>
        <w:jc w:val="right"/>
        <w:textAlignment w:val="auto"/>
        <w:rPr>
          <w:rFonts w:ascii="Times New Roman" w:hAnsi="Times New Roman" w:eastAsia="仿宋_GB2312" w:cs="Times New Roman"/>
          <w:sz w:val="32"/>
          <w:szCs w:val="32"/>
        </w:rPr>
      </w:pPr>
    </w:p>
    <w:p w14:paraId="482DE30D">
      <w:pPr>
        <w:keepNext w:val="0"/>
        <w:keepLines w:val="0"/>
        <w:pageBreakBefore w:val="0"/>
        <w:kinsoku/>
        <w:wordWrap/>
        <w:overflowPunct/>
        <w:topLinePunct w:val="0"/>
        <w:autoSpaceDE/>
        <w:autoSpaceDN/>
        <w:bidi w:val="0"/>
        <w:spacing w:beforeAutospacing="0" w:afterAutospacing="0" w:line="560" w:lineRule="exact"/>
        <w:jc w:val="right"/>
        <w:textAlignment w:val="auto"/>
        <w:rPr>
          <w:rFonts w:ascii="Times New Roman" w:hAnsi="Times New Roman" w:eastAsia="仿宋_GB2312" w:cs="Times New Roman"/>
          <w:sz w:val="32"/>
          <w:szCs w:val="32"/>
        </w:rPr>
      </w:pPr>
    </w:p>
    <w:p w14:paraId="36A1B35B">
      <w:pPr>
        <w:keepNext w:val="0"/>
        <w:keepLines w:val="0"/>
        <w:pageBreakBefore w:val="0"/>
        <w:kinsoku/>
        <w:wordWrap/>
        <w:overflowPunct/>
        <w:topLinePunct w:val="0"/>
        <w:autoSpaceDE/>
        <w:autoSpaceDN/>
        <w:bidi w:val="0"/>
        <w:spacing w:beforeAutospacing="0" w:afterAutospacing="0" w:line="560" w:lineRule="exact"/>
        <w:jc w:val="right"/>
        <w:textAlignment w:val="auto"/>
        <w:rPr>
          <w:rFonts w:ascii="Times New Roman" w:hAnsi="Times New Roman" w:eastAsia="仿宋_GB2312" w:cs="Times New Roman"/>
          <w:sz w:val="32"/>
          <w:szCs w:val="32"/>
        </w:rPr>
      </w:pPr>
    </w:p>
    <w:p w14:paraId="46A9DBE3">
      <w:pPr>
        <w:keepNext w:val="0"/>
        <w:keepLines w:val="0"/>
        <w:pageBreakBefore w:val="0"/>
        <w:kinsoku/>
        <w:wordWrap/>
        <w:overflowPunct/>
        <w:topLinePunct w:val="0"/>
        <w:autoSpaceDE/>
        <w:autoSpaceDN/>
        <w:bidi w:val="0"/>
        <w:spacing w:beforeAutospacing="0" w:afterAutospacing="0" w:line="560" w:lineRule="exact"/>
        <w:jc w:val="right"/>
        <w:textAlignment w:val="auto"/>
        <w:rPr>
          <w:rFonts w:ascii="Times New Roman" w:hAnsi="Times New Roman" w:eastAsia="仿宋_GB2312" w:cs="Times New Roman"/>
          <w:sz w:val="32"/>
          <w:szCs w:val="32"/>
        </w:rPr>
      </w:pPr>
    </w:p>
    <w:p w14:paraId="498EEE41">
      <w:pPr>
        <w:keepNext w:val="0"/>
        <w:keepLines w:val="0"/>
        <w:pageBreakBefore w:val="0"/>
        <w:kinsoku/>
        <w:wordWrap/>
        <w:overflowPunct/>
        <w:topLinePunct w:val="0"/>
        <w:autoSpaceDE/>
        <w:autoSpaceDN/>
        <w:bidi w:val="0"/>
        <w:spacing w:beforeAutospacing="0" w:afterAutospacing="0" w:line="560" w:lineRule="exact"/>
        <w:jc w:val="righ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鸡西市生态环境局</w:t>
      </w:r>
    </w:p>
    <w:p w14:paraId="601ABA61">
      <w:pPr>
        <w:keepNext w:val="0"/>
        <w:keepLines w:val="0"/>
        <w:pageBreakBefore w:val="0"/>
        <w:kinsoku/>
        <w:wordWrap/>
        <w:overflowPunct/>
        <w:topLinePunct w:val="0"/>
        <w:autoSpaceDE/>
        <w:autoSpaceDN/>
        <w:spacing w:beforeAutospacing="0" w:afterAutospacing="0" w:line="560" w:lineRule="exact"/>
        <w:jc w:val="right"/>
        <w:rPr>
          <w:rFonts w:eastAsia="仿宋_GB2312"/>
          <w:sz w:val="32"/>
          <w:szCs w:val="32"/>
        </w:rPr>
      </w:pPr>
      <w:r>
        <w:rPr>
          <w:rFonts w:ascii="Times New Roman" w:hAnsi="Times New Roman" w:eastAsia="仿宋_GB2312" w:cs="Times New Roman"/>
          <w:sz w:val="32"/>
          <w:szCs w:val="32"/>
        </w:rPr>
        <w:t xml:space="preserve">                                2025年</w:t>
      </w:r>
      <w:r>
        <w:rPr>
          <w:rFonts w:hint="eastAsia" w:eastAsia="仿宋_GB2312" w:cs="Times New Roman"/>
          <w:sz w:val="32"/>
          <w:szCs w:val="32"/>
          <w:lang w:val="en-US" w:eastAsia="zh-CN"/>
        </w:rPr>
        <w:t>11</w:t>
      </w:r>
      <w:r>
        <w:rPr>
          <w:rFonts w:ascii="Times New Roman" w:hAnsi="Times New Roman" w:eastAsia="仿宋_GB2312" w:cs="Times New Roman"/>
          <w:sz w:val="32"/>
          <w:szCs w:val="32"/>
        </w:rPr>
        <w:t>月</w:t>
      </w:r>
      <w:r>
        <w:rPr>
          <w:rFonts w:hint="eastAsia" w:eastAsia="仿宋_GB2312" w:cs="Times New Roman"/>
          <w:sz w:val="32"/>
          <w:szCs w:val="32"/>
          <w:lang w:val="en-US" w:eastAsia="zh-CN"/>
        </w:rPr>
        <w:t>14</w:t>
      </w:r>
      <w:r>
        <w:rPr>
          <w:rFonts w:ascii="Times New Roman" w:hAnsi="Times New Roman" w:eastAsia="仿宋_GB2312" w:cs="Times New Roman"/>
          <w:sz w:val="32"/>
          <w:szCs w:val="32"/>
        </w:rPr>
        <w:t>日</w:t>
      </w:r>
    </w:p>
    <w:p w14:paraId="446CEFA4">
      <w:pPr>
        <w:keepNext w:val="0"/>
        <w:keepLines w:val="0"/>
        <w:pageBreakBefore w:val="0"/>
        <w:widowControl w:val="0"/>
        <w:suppressLineNumbers w:val="0"/>
        <w:suppressAutoHyphens w:val="0"/>
        <w:bidi w:val="0"/>
        <w:spacing w:beforeAutospacing="0" w:afterAutospacing="0" w:line="560" w:lineRule="exact"/>
      </w:pPr>
    </w:p>
    <w:p w14:paraId="2BDF6FB0">
      <w:pPr>
        <w:pStyle w:val="6"/>
      </w:pPr>
    </w:p>
    <w:p w14:paraId="5C6E1AD8">
      <w:pPr>
        <w:pStyle w:val="7"/>
      </w:pPr>
    </w:p>
    <w:p w14:paraId="296DFAB5">
      <w:pPr>
        <w:pStyle w:val="8"/>
      </w:pPr>
    </w:p>
    <w:p w14:paraId="1C1A9445"/>
    <w:p w14:paraId="2B3C6079">
      <w:pPr>
        <w:pStyle w:val="6"/>
      </w:pPr>
    </w:p>
    <w:p w14:paraId="0FBEF85C">
      <w:pPr>
        <w:pStyle w:val="7"/>
      </w:pPr>
    </w:p>
    <w:p w14:paraId="678D489D">
      <w:pPr>
        <w:pStyle w:val="8"/>
      </w:pPr>
    </w:p>
    <w:p w14:paraId="3EC46A2C">
      <w:pPr>
        <w:keepNext w:val="0"/>
        <w:keepLines w:val="0"/>
        <w:pageBreakBefore w:val="0"/>
        <w:pBdr>
          <w:top w:val="single" w:color="auto" w:sz="4" w:space="0"/>
          <w:bottom w:val="single" w:color="auto" w:sz="4" w:space="0"/>
        </w:pBdr>
        <w:kinsoku/>
        <w:wordWrap/>
        <w:overflowPunct/>
        <w:topLinePunct w:val="0"/>
        <w:autoSpaceDE/>
        <w:autoSpaceDN/>
        <w:bidi w:val="0"/>
        <w:spacing w:beforeAutospacing="0" w:afterAutospacing="0" w:line="56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抄 送：鸡西市生</w:t>
      </w:r>
      <w:r>
        <w:rPr>
          <w:rFonts w:ascii="Times New Roman" w:hAnsi="Times New Roman" w:eastAsia="仿宋_GB2312" w:cs="Times New Roman"/>
          <w:kern w:val="0"/>
          <w:sz w:val="32"/>
          <w:szCs w:val="32"/>
        </w:rPr>
        <w:t>态环境保护综合行政执法局</w:t>
      </w:r>
      <w:r>
        <w:rPr>
          <w:rFonts w:hint="eastAsia" w:eastAsia="仿宋_GB2312" w:cs="Times New Roman"/>
          <w:kern w:val="0"/>
          <w:sz w:val="32"/>
          <w:szCs w:val="32"/>
          <w:lang w:val="en-US" w:eastAsia="zh-CN"/>
        </w:rPr>
        <w:t xml:space="preserve">  </w:t>
      </w:r>
      <w:r>
        <w:rPr>
          <w:rFonts w:ascii="Times New Roman" w:hAnsi="Times New Roman" w:eastAsia="仿宋_GB2312" w:cs="Times New Roman"/>
          <w:sz w:val="32"/>
          <w:szCs w:val="32"/>
        </w:rPr>
        <w:t>鸡西</w:t>
      </w:r>
      <w:r>
        <w:rPr>
          <w:rFonts w:hint="eastAsia" w:eastAsia="仿宋_GB2312" w:cs="Times New Roman"/>
          <w:sz w:val="32"/>
          <w:szCs w:val="32"/>
          <w:lang w:val="en-US" w:eastAsia="zh-CN"/>
        </w:rPr>
        <w:t>市</w:t>
      </w:r>
      <w:r>
        <w:rPr>
          <w:rFonts w:eastAsia="仿宋_GB2312" w:cs="Times New Roman"/>
          <w:sz w:val="32"/>
          <w:szCs w:val="32"/>
          <w:lang w:val="en-US" w:eastAsia="zh-CN"/>
        </w:rPr>
        <w:t>鸡东</w:t>
      </w:r>
      <w:r>
        <w:rPr>
          <w:rFonts w:ascii="Times New Roman" w:hAnsi="Times New Roman" w:eastAsia="仿宋_GB2312" w:cs="Times New Roman"/>
          <w:sz w:val="32"/>
          <w:szCs w:val="32"/>
        </w:rPr>
        <w:t>生态环境局</w:t>
      </w:r>
    </w:p>
    <w:p w14:paraId="02B0A409">
      <w:pPr>
        <w:keepNext w:val="0"/>
        <w:keepLines w:val="0"/>
        <w:pageBreakBefore w:val="0"/>
        <w:pBdr>
          <w:bottom w:val="single" w:color="auto" w:sz="4" w:space="0"/>
        </w:pBdr>
        <w:kinsoku/>
        <w:wordWrap/>
        <w:overflowPunct/>
        <w:topLinePunct w:val="0"/>
        <w:autoSpaceDE/>
        <w:autoSpaceDN/>
        <w:bidi w:val="0"/>
        <w:spacing w:beforeAutospacing="0" w:afterAutospacing="0" w:line="56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鸡西市生态环境局办公室</w:t>
      </w:r>
      <w:r>
        <w:rPr>
          <w:rFonts w:hint="eastAsia" w:eastAsia="仿宋_GB2312" w:cs="Times New Roman"/>
          <w:sz w:val="32"/>
          <w:szCs w:val="32"/>
          <w:lang w:eastAsia="zh-CN"/>
        </w:rPr>
        <w:t>（法规科）</w:t>
      </w:r>
      <w:r>
        <w:rPr>
          <w:rFonts w:ascii="Times New Roman" w:hAnsi="Times New Roman" w:eastAsia="仿宋_GB2312" w:cs="Times New Roman"/>
          <w:sz w:val="32"/>
          <w:szCs w:val="32"/>
        </w:rPr>
        <w:t>2025年</w:t>
      </w:r>
      <w:r>
        <w:rPr>
          <w:rFonts w:hint="eastAsia" w:eastAsia="仿宋_GB2312" w:cs="Times New Roman"/>
          <w:sz w:val="32"/>
          <w:szCs w:val="32"/>
          <w:lang w:val="en-US" w:eastAsia="zh-CN"/>
        </w:rPr>
        <w:t>11</w:t>
      </w:r>
      <w:r>
        <w:rPr>
          <w:rFonts w:ascii="Times New Roman" w:hAnsi="Times New Roman" w:eastAsia="仿宋_GB2312" w:cs="Times New Roman"/>
          <w:kern w:val="0"/>
          <w:sz w:val="32"/>
          <w:szCs w:val="32"/>
        </w:rPr>
        <w:t>月</w:t>
      </w:r>
      <w:r>
        <w:rPr>
          <w:rFonts w:hint="eastAsia" w:eastAsia="仿宋_GB2312" w:cs="Times New Roman"/>
          <w:kern w:val="0"/>
          <w:sz w:val="32"/>
          <w:szCs w:val="32"/>
          <w:lang w:val="en-US" w:eastAsia="zh-CN"/>
        </w:rPr>
        <w:t>14</w:t>
      </w:r>
      <w:r>
        <w:rPr>
          <w:rFonts w:ascii="Times New Roman" w:hAnsi="Times New Roman" w:eastAsia="仿宋_GB2312" w:cs="Times New Roman"/>
          <w:kern w:val="0"/>
          <w:sz w:val="32"/>
          <w:szCs w:val="32"/>
        </w:rPr>
        <w:t>日</w:t>
      </w:r>
      <w:r>
        <w:rPr>
          <w:rFonts w:ascii="Times New Roman" w:hAnsi="Times New Roman" w:eastAsia="仿宋_GB2312" w:cs="Times New Roman"/>
          <w:sz w:val="32"/>
          <w:szCs w:val="32"/>
        </w:rPr>
        <w:t>印发</w:t>
      </w:r>
    </w:p>
    <w:p w14:paraId="78DAB75B">
      <w:pPr>
        <w:keepNext w:val="0"/>
        <w:keepLines w:val="0"/>
        <w:pageBreakBefore w:val="0"/>
        <w:kinsoku/>
        <w:wordWrap/>
        <w:overflowPunct/>
        <w:topLinePunct w:val="0"/>
        <w:autoSpaceDE/>
        <w:autoSpaceDN/>
        <w:bidi w:val="0"/>
        <w:spacing w:beforeAutospacing="0" w:afterAutospacing="0" w:line="560" w:lineRule="exact"/>
        <w:jc w:val="righ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共印8份</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00007A87" w:usb1="80000000" w:usb2="00000008"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NumberOnly"/>
    <w:panose1 w:val="020B0602030504090204"/>
    <w:charset w:val="00"/>
    <w:family w:val="auto"/>
    <w:pitch w:val="default"/>
    <w:sig w:usb0="00000000" w:usb1="00000000" w:usb2="00000000" w:usb3="00000000" w:csb0="20000001" w:csb1="0000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38C2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76200" cy="131445"/>
                      </a:xfrm>
                      <a:prstGeom prst="rect">
                        <a:avLst/>
                      </a:prstGeom>
                      <a:noFill/>
                      <a:ln w="9525" cap="flat" cmpd="sng">
                        <a:noFill/>
                        <a:prstDash val="solid"/>
                        <a:round/>
                      </a:ln>
                    </wps:spPr>
                    <wps:txbx>
                      <w:txbxContent>
                        <w:p w14:paraId="5211BFDD">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35pt;width:6pt;mso-position-horizontal:center;mso-position-horizontal-relative:margin;mso-wrap-style:none;z-index:251659264;mso-width-relative:page;mso-height-relative:page;" filled="f" stroked="f" coordsize="21600,21600" o:gfxdata="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ntpqi0AAAAAMBAAAPAAAAAAAAAAEAIAAAACIAAABkcnMvZG93bnJldi54&#10;bWxQSwECFAAUAAAACACHTuJA3iJrBQICAADzAwAADgAAAAAAAAABACAAAAAfAQAAZHJzL2Uyb0Rv&#10;Yy54bWxQSwUGAAAAAAYABgBZAQAAkwUAAAAA&#10;">
              <v:fill on="f" focussize="0,0"/>
              <v:stroke on="f" joinstyle="round"/>
              <v:imagedata o:title=""/>
              <o:lock v:ext="edit" aspectratio="f"/>
              <v:textbox inset="0mm,0mm,0mm,0mm" style="mso-fit-shape-to-text:t;">
                <w:txbxContent>
                  <w:p w14:paraId="5211BFDD">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OTZkYTY0YzY2NWYyNzQ0NTEzMmJlMWQ5ZTU0MzcwMTEifQ=="/>
  </w:docVars>
  <w:rsids>
    <w:rsidRoot w:val="00000000"/>
    <w:rsid w:val="0BBB5F1C"/>
    <w:rsid w:val="2DFB265C"/>
    <w:rsid w:val="32E94CA1"/>
    <w:rsid w:val="3F8164A1"/>
    <w:rsid w:val="414C0358"/>
    <w:rsid w:val="54DF725F"/>
    <w:rsid w:val="57E2077F"/>
    <w:rsid w:val="5D6FC062"/>
    <w:rsid w:val="5E5FB012"/>
    <w:rsid w:val="642D3FEE"/>
    <w:rsid w:val="7400292F"/>
    <w:rsid w:val="777C84E4"/>
    <w:rsid w:val="7FFDEBF8"/>
    <w:rsid w:val="9FAF2B0B"/>
    <w:rsid w:val="BFF52F8A"/>
    <w:rsid w:val="DDDBB79B"/>
    <w:rsid w:val="FEFEB5A6"/>
    <w:rsid w:val="FF75F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9"/>
    <w:qFormat/>
    <w:uiPriority w:val="0"/>
    <w:pPr>
      <w:keepNext/>
      <w:keepLines/>
      <w:spacing w:before="260" w:after="260" w:line="415" w:lineRule="auto"/>
      <w:outlineLvl w:val="2"/>
    </w:pPr>
    <w:rPr>
      <w:b/>
      <w:bCs/>
      <w:sz w:val="32"/>
      <w:szCs w:val="32"/>
    </w:rPr>
  </w:style>
  <w:style w:type="character" w:default="1" w:styleId="16">
    <w:name w:val="Default Paragraph Font"/>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semiHidden/>
    <w:qFormat/>
    <w:uiPriority w:val="0"/>
    <w:rPr>
      <w:rFonts w:ascii="仿宋" w:hAnsi="仿宋" w:eastAsia="仿宋" w:cs="仿宋"/>
      <w:sz w:val="27"/>
      <w:szCs w:val="27"/>
      <w:lang w:val="en-US" w:eastAsia="en-US" w:bidi="ar-SA"/>
    </w:rPr>
  </w:style>
  <w:style w:type="paragraph" w:customStyle="1" w:styleId="7">
    <w:name w:val="Normal (Web)1"/>
    <w:basedOn w:val="1"/>
    <w:next w:val="8"/>
    <w:autoRedefine/>
    <w:qFormat/>
    <w:uiPriority w:val="0"/>
    <w:pPr>
      <w:widowControl/>
    </w:pPr>
    <w:rPr>
      <w:rFonts w:ascii="宋体"/>
      <w:sz w:val="24"/>
      <w:szCs w:val="21"/>
    </w:rPr>
  </w:style>
  <w:style w:type="paragraph" w:customStyle="1" w:styleId="8">
    <w:name w:val="Date1"/>
    <w:basedOn w:val="1"/>
    <w:next w:val="1"/>
    <w:autoRedefine/>
    <w:qFormat/>
    <w:uiPriority w:val="0"/>
    <w:pPr>
      <w:ind w:left="2500" w:leftChars="2500"/>
    </w:pPr>
  </w:style>
  <w:style w:type="paragraph" w:styleId="9">
    <w:name w:val="Body Text Indent"/>
    <w:basedOn w:val="1"/>
    <w:qFormat/>
    <w:uiPriority w:val="0"/>
    <w:pPr>
      <w:spacing w:after="120"/>
      <w:ind w:left="42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widowControl/>
      <w:spacing w:after="100" w:line="276" w:lineRule="auto"/>
      <w:ind w:left="220"/>
      <w:jc w:val="left"/>
    </w:pPr>
    <w:rPr>
      <w:rFonts w:ascii="Calibri" w:hAnsi="Calibri"/>
      <w:kern w:val="0"/>
      <w:sz w:val="22"/>
      <w:szCs w:val="22"/>
    </w:rPr>
  </w:style>
  <w:style w:type="paragraph" w:styleId="13">
    <w:name w:val="Normal (Web)"/>
    <w:basedOn w:val="1"/>
    <w:qFormat/>
    <w:uiPriority w:val="0"/>
    <w:pPr>
      <w:spacing w:beforeAutospacing="1" w:afterAutospacing="1"/>
      <w:jc w:val="left"/>
    </w:pPr>
    <w:rPr>
      <w:kern w:val="0"/>
      <w:sz w:val="24"/>
    </w:rPr>
  </w:style>
  <w:style w:type="paragraph" w:styleId="14">
    <w:name w:val="Body Text First Indent 2"/>
    <w:basedOn w:val="9"/>
    <w:qFormat/>
    <w:uiPriority w:val="0"/>
    <w:pPr>
      <w:ind w:firstLine="420"/>
    </w:pPr>
  </w:style>
  <w:style w:type="character" w:customStyle="1" w:styleId="17">
    <w:name w:val="heading 1 Char"/>
    <w:basedOn w:val="16"/>
    <w:link w:val="2"/>
    <w:qFormat/>
    <w:uiPriority w:val="0"/>
    <w:rPr>
      <w:rFonts w:ascii="Times New Roman" w:hAnsi="Times New Roman" w:eastAsia="宋体" w:cs="Times New Roman"/>
      <w:b/>
      <w:bCs/>
      <w:kern w:val="44"/>
      <w:sz w:val="44"/>
      <w:szCs w:val="44"/>
      <w:lang w:val="en-US" w:eastAsia="zh-CN" w:bidi="ar-SA"/>
    </w:rPr>
  </w:style>
  <w:style w:type="character" w:customStyle="1" w:styleId="18">
    <w:name w:val="heading 2 Char"/>
    <w:basedOn w:val="16"/>
    <w:link w:val="3"/>
    <w:qFormat/>
    <w:uiPriority w:val="0"/>
    <w:rPr>
      <w:rFonts w:ascii="Times New Roman" w:hAnsi="Times New Roman" w:eastAsia="黑体" w:cs="Times New Roman"/>
      <w:b/>
      <w:bCs/>
      <w:kern w:val="2"/>
      <w:sz w:val="32"/>
      <w:szCs w:val="32"/>
      <w:lang w:val="en-US" w:eastAsia="zh-CN" w:bidi="ar-SA"/>
    </w:rPr>
  </w:style>
  <w:style w:type="character" w:customStyle="1" w:styleId="19">
    <w:name w:val="heading 3 Char"/>
    <w:basedOn w:val="16"/>
    <w:link w:val="4"/>
    <w:qFormat/>
    <w:uiPriority w:val="0"/>
    <w:rPr>
      <w:rFonts w:ascii="Times New Roman" w:hAnsi="Times New Roman" w:eastAsia="宋体" w:cs="Times New Roman"/>
      <w:b/>
      <w:bCs/>
      <w:kern w:val="2"/>
      <w:sz w:val="32"/>
      <w:szCs w:val="32"/>
      <w:lang w:val="en-US" w:eastAsia="zh-CN" w:bidi="ar-SA"/>
    </w:rPr>
  </w:style>
  <w:style w:type="paragraph" w:customStyle="1" w:styleId="20">
    <w:name w:val="报告表  段"/>
    <w:basedOn w:val="1"/>
    <w:qFormat/>
    <w:uiPriority w:val="0"/>
    <w:pPr>
      <w:adjustRightInd w:val="0"/>
      <w:spacing w:line="360" w:lineRule="auto"/>
      <w:ind w:firstLine="505"/>
    </w:pPr>
    <w:rPr>
      <w:rFonts w:ascii="Calibri" w:hAnsi="Calibri" w:cs="宋体"/>
    </w:rPr>
  </w:style>
  <w:style w:type="paragraph" w:styleId="21">
    <w:name w:val="List Paragraph"/>
    <w:basedOn w:val="1"/>
    <w:qFormat/>
    <w:uiPriority w:val="0"/>
    <w:pPr>
      <w:ind w:firstLine="200" w:firstLineChars="200"/>
    </w:pPr>
  </w:style>
  <w:style w:type="paragraph" w:customStyle="1" w:styleId="22">
    <w:name w:val="表格(新)"/>
    <w:basedOn w:val="1"/>
    <w:qFormat/>
    <w:uiPriority w:val="0"/>
    <w:pPr>
      <w:adjustRightInd w:val="0"/>
      <w:snapToGrid w:val="0"/>
      <w:spacing w:line="240" w:lineRule="auto"/>
      <w:ind w:firstLine="0"/>
      <w:jc w:val="center"/>
    </w:pPr>
    <w:rPr>
      <w:rFonts w:hAnsi="宋体" w:eastAsia="宋体"/>
      <w:sz w:val="21"/>
      <w:szCs w:val="21"/>
    </w:rPr>
  </w:style>
  <w:style w:type="paragraph" w:customStyle="1" w:styleId="23">
    <w:name w:val="11111"/>
    <w:basedOn w:val="1"/>
    <w:next w:val="1"/>
    <w:qFormat/>
    <w:uiPriority w:val="0"/>
    <w:pPr>
      <w:adjustRightInd/>
      <w:snapToGrid/>
      <w:spacing w:line="360" w:lineRule="auto"/>
      <w:ind w:firstLine="200"/>
    </w:pPr>
    <w:rPr>
      <w:rFonts w:ascii="宋体" w:hAnsi="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9CE012-71E6-41DB-971B-D7ABC0862B35}">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6</Pages>
  <Words>2926</Words>
  <Characters>3114</Characters>
  <Lines>0</Lines>
  <Paragraphs>34</Paragraphs>
  <TotalTime>23</TotalTime>
  <ScaleCrop>false</ScaleCrop>
  <LinksUpToDate>false</LinksUpToDate>
  <CharactersWithSpaces>3194</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2024-08-11T11:25:00Z</dcterms:created>
  <dc:creator>01</dc:creator>
  <cp:lastModifiedBy>greatwall</cp:lastModifiedBy>
  <cp:lastPrinted>2025-11-13T15:05:00Z</cp:lastPrinted>
  <dcterms:modified xsi:type="dcterms:W3CDTF">2025-11-13T15:12:56Z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E138A3405A2D48438E5734746911A442_13</vt:lpwstr>
  </property>
  <property fmtid="{D5CDD505-2E9C-101B-9397-08002B2CF9AE}" pid="4" name="KSOTemplateDocerSaveRecord">
    <vt:lpwstr>eyJoZGlkIjoiYWIzZjVlN2E4N2U5MDA5YTYzNDNlNjc0NjBkYTQzZDAiLCJ1c2VySWQiOiI2MjY2MDExOTcifQ==</vt:lpwstr>
  </property>
</Properties>
</file>